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Default="00E77CB3" w:rsidP="00E77CB3">
      <w:pPr>
        <w:jc w:val="center"/>
      </w:pPr>
      <w:bookmarkStart w:id="0" w:name="_GoBack"/>
      <w:bookmarkEnd w:id="0"/>
    </w:p>
    <w:p w:rsidR="00795FBD" w:rsidRDefault="00795FBD" w:rsidP="00E77CB3">
      <w:pPr>
        <w:jc w:val="center"/>
      </w:pPr>
    </w:p>
    <w:p w:rsidR="00795FBD" w:rsidRPr="005E37C6" w:rsidRDefault="00795FBD" w:rsidP="00E77CB3">
      <w:pPr>
        <w:jc w:val="center"/>
      </w:pPr>
    </w:p>
    <w:p w:rsidR="00E77CB3" w:rsidRPr="000E6D7E" w:rsidRDefault="00D67316" w:rsidP="00E77CB3">
      <w:pPr>
        <w:jc w:val="center"/>
        <w:rPr>
          <w:lang w:val="fr-FR"/>
        </w:rPr>
      </w:pPr>
      <w:r w:rsidRPr="000E6D7E">
        <w:rPr>
          <w:lang w:val="fr-FR"/>
        </w:rPr>
        <w:t>QUATRIÈME SECTION</w:t>
      </w:r>
    </w:p>
    <w:p w:rsidR="00E77CB3" w:rsidRPr="000E6D7E" w:rsidRDefault="00E77CB3" w:rsidP="00E77CB3">
      <w:pPr>
        <w:jc w:val="center"/>
        <w:rPr>
          <w:lang w:val="fr-FR"/>
        </w:rPr>
      </w:pPr>
    </w:p>
    <w:p w:rsidR="00795FBD" w:rsidRPr="000E6D7E" w:rsidRDefault="00795FBD" w:rsidP="00E77CB3">
      <w:pPr>
        <w:jc w:val="center"/>
        <w:rPr>
          <w:lang w:val="fr-FR"/>
        </w:rPr>
      </w:pPr>
    </w:p>
    <w:p w:rsidR="00795FBD" w:rsidRPr="000E6D7E" w:rsidRDefault="00795FBD" w:rsidP="00E77CB3">
      <w:pPr>
        <w:jc w:val="center"/>
        <w:rPr>
          <w:lang w:val="fr-FR"/>
        </w:rPr>
      </w:pPr>
    </w:p>
    <w:p w:rsidR="00795FBD" w:rsidRPr="000E6D7E" w:rsidRDefault="00795FBD" w:rsidP="00E77CB3">
      <w:pPr>
        <w:jc w:val="center"/>
        <w:rPr>
          <w:lang w:val="fr-FR"/>
        </w:rPr>
      </w:pPr>
    </w:p>
    <w:p w:rsidR="00795FBD" w:rsidRPr="000E6D7E" w:rsidRDefault="00795FBD" w:rsidP="00E77CB3">
      <w:pPr>
        <w:jc w:val="center"/>
        <w:rPr>
          <w:lang w:val="fr-FR"/>
        </w:rPr>
      </w:pPr>
    </w:p>
    <w:p w:rsidR="00795FBD" w:rsidRPr="000E6D7E" w:rsidRDefault="00795FBD" w:rsidP="00E77CB3">
      <w:pPr>
        <w:jc w:val="center"/>
        <w:rPr>
          <w:lang w:val="fr-FR"/>
        </w:rPr>
      </w:pPr>
    </w:p>
    <w:p w:rsidR="00E77CB3" w:rsidRPr="000E6D7E" w:rsidRDefault="00E77CB3" w:rsidP="00E77CB3">
      <w:pPr>
        <w:jc w:val="center"/>
        <w:rPr>
          <w:b/>
          <w:lang w:val="fr-FR"/>
        </w:rPr>
      </w:pPr>
      <w:bookmarkStart w:id="1" w:name="To"/>
      <w:r w:rsidRPr="000E6D7E">
        <w:rPr>
          <w:b/>
          <w:lang w:val="fr-FR"/>
        </w:rPr>
        <w:t xml:space="preserve">AFFAIRE </w:t>
      </w:r>
      <w:bookmarkEnd w:id="1"/>
      <w:r w:rsidR="00D67316" w:rsidRPr="000E6D7E">
        <w:rPr>
          <w:b/>
          <w:lang w:val="fr-FR"/>
        </w:rPr>
        <w:t>AKINNIBOSUN c. ITALIE</w:t>
      </w:r>
    </w:p>
    <w:p w:rsidR="00E77CB3" w:rsidRPr="000E6D7E" w:rsidRDefault="00E77CB3" w:rsidP="00E77CB3">
      <w:pPr>
        <w:jc w:val="center"/>
        <w:rPr>
          <w:lang w:val="fr-FR"/>
        </w:rPr>
      </w:pPr>
    </w:p>
    <w:p w:rsidR="00795FBD" w:rsidRPr="00C2548D" w:rsidRDefault="00E77CB3" w:rsidP="00795FBD">
      <w:pPr>
        <w:jc w:val="center"/>
        <w:rPr>
          <w:szCs w:val="24"/>
          <w:lang w:val="fr-FR"/>
        </w:rPr>
      </w:pPr>
      <w:r w:rsidRPr="00C2548D">
        <w:rPr>
          <w:i/>
          <w:lang w:val="fr-FR"/>
        </w:rPr>
        <w:t>(</w:t>
      </w:r>
      <w:r w:rsidR="00D67316" w:rsidRPr="00C2548D">
        <w:rPr>
          <w:i/>
          <w:lang w:val="fr-FR"/>
        </w:rPr>
        <w:t>Requête n</w:t>
      </w:r>
      <w:r w:rsidR="00D67316" w:rsidRPr="00C2548D">
        <w:rPr>
          <w:i/>
          <w:vertAlign w:val="superscript"/>
          <w:lang w:val="fr-FR"/>
        </w:rPr>
        <w:t>o</w:t>
      </w:r>
      <w:r w:rsidR="00D67316" w:rsidRPr="00C2548D">
        <w:rPr>
          <w:i/>
          <w:lang w:val="fr-FR"/>
        </w:rPr>
        <w:t xml:space="preserve"> 9056/14</w:t>
      </w:r>
      <w:r w:rsidRPr="00C2548D">
        <w:rPr>
          <w:i/>
          <w:lang w:val="fr-FR"/>
        </w:rPr>
        <w:t>)</w:t>
      </w: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r w:rsidRPr="00C2548D">
        <w:rPr>
          <w:szCs w:val="24"/>
          <w:lang w:val="fr-FR"/>
        </w:rPr>
        <w:t>ARRÊT</w:t>
      </w: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795FBD" w:rsidRPr="00C2548D" w:rsidRDefault="00795FBD" w:rsidP="00795FBD">
      <w:pPr>
        <w:jc w:val="center"/>
        <w:rPr>
          <w:szCs w:val="24"/>
          <w:lang w:val="fr-FR"/>
        </w:rPr>
      </w:pPr>
      <w:r w:rsidRPr="00C2548D">
        <w:rPr>
          <w:szCs w:val="24"/>
          <w:lang w:val="fr-FR"/>
        </w:rPr>
        <w:t>STRASBOURG</w:t>
      </w:r>
    </w:p>
    <w:p w:rsidR="00795FBD" w:rsidRPr="00C2548D" w:rsidRDefault="00795FBD" w:rsidP="00795FBD">
      <w:pPr>
        <w:jc w:val="center"/>
        <w:rPr>
          <w:szCs w:val="24"/>
          <w:lang w:val="fr-FR"/>
        </w:rPr>
      </w:pPr>
    </w:p>
    <w:p w:rsidR="00795FBD" w:rsidRPr="00C2548D" w:rsidRDefault="00795FBD" w:rsidP="00795FBD">
      <w:pPr>
        <w:jc w:val="center"/>
        <w:rPr>
          <w:szCs w:val="24"/>
          <w:lang w:val="fr-FR"/>
        </w:rPr>
      </w:pPr>
      <w:r w:rsidRPr="00C2548D">
        <w:rPr>
          <w:szCs w:val="24"/>
          <w:lang w:val="fr-FR"/>
        </w:rPr>
        <w:t>16 juillet 2015</w:t>
      </w:r>
    </w:p>
    <w:p w:rsidR="00795FBD" w:rsidRPr="00C2548D" w:rsidRDefault="00795FBD" w:rsidP="00795FBD">
      <w:pPr>
        <w:jc w:val="center"/>
        <w:rPr>
          <w:szCs w:val="24"/>
          <w:lang w:val="fr-FR"/>
        </w:rPr>
      </w:pPr>
    </w:p>
    <w:p w:rsidR="00795FBD" w:rsidRPr="00C2548D" w:rsidRDefault="00795FBD" w:rsidP="00795FBD">
      <w:pPr>
        <w:jc w:val="center"/>
        <w:rPr>
          <w:szCs w:val="24"/>
          <w:lang w:val="fr-FR"/>
        </w:rPr>
      </w:pPr>
    </w:p>
    <w:p w:rsidR="002F70E9" w:rsidRPr="00C2548D" w:rsidRDefault="002F70E9" w:rsidP="00795FBD">
      <w:pPr>
        <w:jc w:val="center"/>
        <w:rPr>
          <w:szCs w:val="24"/>
          <w:lang w:val="fr-FR"/>
        </w:rPr>
      </w:pPr>
    </w:p>
    <w:p w:rsidR="002F70E9" w:rsidRPr="00C2548D" w:rsidRDefault="002F70E9" w:rsidP="00795FBD">
      <w:pPr>
        <w:jc w:val="center"/>
        <w:rPr>
          <w:szCs w:val="24"/>
          <w:lang w:val="fr-FR"/>
        </w:rPr>
      </w:pPr>
    </w:p>
    <w:p w:rsidR="002F70E9" w:rsidRPr="00C2548D" w:rsidRDefault="002F70E9" w:rsidP="00795FBD">
      <w:pPr>
        <w:jc w:val="center"/>
        <w:rPr>
          <w:szCs w:val="24"/>
          <w:lang w:val="fr-FR"/>
        </w:rPr>
      </w:pPr>
    </w:p>
    <w:p w:rsidR="008D2477" w:rsidRPr="00C2548D" w:rsidRDefault="00795FBD" w:rsidP="00795FBD">
      <w:pPr>
        <w:rPr>
          <w:szCs w:val="24"/>
          <w:lang w:val="fr-FR"/>
        </w:rPr>
      </w:pPr>
      <w:r w:rsidRPr="00C2548D">
        <w:rPr>
          <w:i/>
          <w:sz w:val="22"/>
          <w:szCs w:val="24"/>
          <w:lang w:val="fr-FR"/>
        </w:rPr>
        <w:t>Cet arrêt deviendra définitif dans les conditions définies à l</w:t>
      </w:r>
      <w:r w:rsidR="00C2548D">
        <w:rPr>
          <w:i/>
          <w:sz w:val="22"/>
          <w:szCs w:val="24"/>
          <w:lang w:val="fr-FR"/>
        </w:rPr>
        <w:t>’</w:t>
      </w:r>
      <w:r w:rsidRPr="00C2548D">
        <w:rPr>
          <w:i/>
          <w:sz w:val="22"/>
          <w:szCs w:val="24"/>
          <w:lang w:val="fr-FR"/>
        </w:rPr>
        <w:t>article 44 § 2 de la Convention. Il peut subir des retouches de forme</w:t>
      </w:r>
      <w:r w:rsidR="00041B4B" w:rsidRPr="00C2548D">
        <w:rPr>
          <w:i/>
          <w:sz w:val="22"/>
          <w:szCs w:val="24"/>
          <w:lang w:val="fr-FR"/>
        </w:rPr>
        <w:t>.</w:t>
      </w:r>
    </w:p>
    <w:p w:rsidR="00795FBD" w:rsidRPr="00C2548D" w:rsidRDefault="00795FBD" w:rsidP="00E77CB3">
      <w:pPr>
        <w:pStyle w:val="JuCase"/>
        <w:rPr>
          <w:lang w:val="fr-FR"/>
        </w:rPr>
        <w:sectPr w:rsidR="00795FBD" w:rsidRPr="00C2548D" w:rsidSect="00795FBD">
          <w:headerReference w:type="default" r:id="rId8"/>
          <w:headerReference w:type="first" r:id="rId9"/>
          <w:footerReference w:type="first" r:id="rId10"/>
          <w:pgSz w:w="11906" w:h="16838" w:code="9"/>
          <w:pgMar w:top="2274" w:right="2274" w:bottom="2274" w:left="2274" w:header="1701" w:footer="720" w:gutter="0"/>
          <w:pgNumType w:start="1"/>
          <w:cols w:space="720"/>
          <w:titlePg/>
          <w:docGrid w:linePitch="326"/>
        </w:sectPr>
      </w:pPr>
    </w:p>
    <w:p w:rsidR="00E77CB3" w:rsidRPr="000E6D7E" w:rsidRDefault="00E77CB3" w:rsidP="00E77CB3">
      <w:pPr>
        <w:pStyle w:val="JuCase"/>
        <w:rPr>
          <w:lang w:val="fr-FR"/>
        </w:rPr>
      </w:pPr>
      <w:r w:rsidRPr="000E6D7E">
        <w:rPr>
          <w:lang w:val="fr-FR"/>
        </w:rPr>
        <w:t>En l</w:t>
      </w:r>
      <w:r w:rsidR="00C2548D">
        <w:rPr>
          <w:lang w:val="fr-FR"/>
        </w:rPr>
        <w:t>’</w:t>
      </w:r>
      <w:r w:rsidRPr="000E6D7E">
        <w:rPr>
          <w:lang w:val="fr-FR"/>
        </w:rPr>
        <w:t xml:space="preserve">affaire </w:t>
      </w:r>
      <w:r w:rsidR="00D67316" w:rsidRPr="000E6D7E">
        <w:rPr>
          <w:lang w:val="fr-FR"/>
        </w:rPr>
        <w:t>Akinnibosun c. Italie</w:t>
      </w:r>
      <w:r w:rsidRPr="000E6D7E">
        <w:rPr>
          <w:lang w:val="fr-FR"/>
        </w:rPr>
        <w:t>,</w:t>
      </w:r>
    </w:p>
    <w:p w:rsidR="00E77CB3" w:rsidRPr="00C2548D" w:rsidRDefault="00E77CB3" w:rsidP="00C63990">
      <w:pPr>
        <w:pStyle w:val="ECHRPara"/>
        <w:rPr>
          <w:lang w:val="fr-FR"/>
        </w:rPr>
      </w:pPr>
      <w:r w:rsidRPr="00C2548D">
        <w:rPr>
          <w:lang w:val="fr-FR"/>
        </w:rPr>
        <w:t>La Cour européenne des droits de l</w:t>
      </w:r>
      <w:r w:rsidR="00C2548D">
        <w:rPr>
          <w:lang w:val="fr-FR"/>
        </w:rPr>
        <w:t>’</w:t>
      </w:r>
      <w:r w:rsidRPr="00C2548D">
        <w:rPr>
          <w:lang w:val="fr-FR"/>
        </w:rPr>
        <w:t>homme (</w:t>
      </w:r>
      <w:r w:rsidR="00D67316" w:rsidRPr="00C2548D">
        <w:rPr>
          <w:lang w:val="fr-FR"/>
        </w:rPr>
        <w:t>quatrième section</w:t>
      </w:r>
      <w:r w:rsidRPr="00C2548D">
        <w:rPr>
          <w:lang w:val="fr-FR"/>
        </w:rPr>
        <w:t xml:space="preserve">), siégeant en </w:t>
      </w:r>
      <w:r w:rsidR="00D67316" w:rsidRPr="00C2548D">
        <w:rPr>
          <w:lang w:val="fr-FR"/>
        </w:rPr>
        <w:t>une chambre composée</w:t>
      </w:r>
      <w:r w:rsidRPr="00C2548D">
        <w:rPr>
          <w:lang w:val="fr-FR"/>
        </w:rPr>
        <w:t xml:space="preserve"> de :</w:t>
      </w:r>
    </w:p>
    <w:p w:rsidR="00E77CB3" w:rsidRPr="00C2548D" w:rsidRDefault="00795FBD" w:rsidP="00C63990">
      <w:pPr>
        <w:pStyle w:val="ECHRDecisionBody"/>
        <w:rPr>
          <w:lang w:val="fr-FR"/>
        </w:rPr>
      </w:pPr>
      <w:r w:rsidRPr="00C2548D">
        <w:rPr>
          <w:lang w:val="fr-FR"/>
        </w:rPr>
        <w:tab/>
        <w:t>Päivi Hirvelä,</w:t>
      </w:r>
      <w:r w:rsidRPr="00C2548D">
        <w:rPr>
          <w:i/>
          <w:lang w:val="fr-FR"/>
        </w:rPr>
        <w:t xml:space="preserve"> présidente,</w:t>
      </w:r>
      <w:r w:rsidRPr="00C2548D">
        <w:rPr>
          <w:i/>
          <w:lang w:val="fr-FR"/>
        </w:rPr>
        <w:br/>
      </w:r>
      <w:r w:rsidRPr="00C2548D">
        <w:rPr>
          <w:lang w:val="fr-FR"/>
        </w:rPr>
        <w:tab/>
        <w:t>Guido Raimondi,</w:t>
      </w:r>
      <w:r w:rsidRPr="00C2548D">
        <w:rPr>
          <w:i/>
          <w:lang w:val="fr-FR"/>
        </w:rPr>
        <w:br/>
      </w:r>
      <w:r w:rsidRPr="00C2548D">
        <w:rPr>
          <w:lang w:val="fr-FR"/>
        </w:rPr>
        <w:tab/>
        <w:t>Ledi Bianku,</w:t>
      </w:r>
      <w:r w:rsidRPr="00C2548D">
        <w:rPr>
          <w:i/>
          <w:lang w:val="fr-FR"/>
        </w:rPr>
        <w:br/>
      </w:r>
      <w:r w:rsidRPr="00C2548D">
        <w:rPr>
          <w:lang w:val="fr-FR"/>
        </w:rPr>
        <w:tab/>
        <w:t>Nona Tsotsoria,</w:t>
      </w:r>
      <w:r w:rsidRPr="00C2548D">
        <w:rPr>
          <w:i/>
          <w:lang w:val="fr-FR"/>
        </w:rPr>
        <w:br/>
      </w:r>
      <w:r w:rsidRPr="00C2548D">
        <w:rPr>
          <w:lang w:val="fr-FR"/>
        </w:rPr>
        <w:tab/>
        <w:t>Paul Mahoney,</w:t>
      </w:r>
      <w:r w:rsidRPr="00C2548D">
        <w:rPr>
          <w:i/>
          <w:lang w:val="fr-FR"/>
        </w:rPr>
        <w:br/>
      </w:r>
      <w:r w:rsidRPr="00C2548D">
        <w:rPr>
          <w:lang w:val="fr-FR"/>
        </w:rPr>
        <w:tab/>
        <w:t>Krzysztof Wojtyczek,</w:t>
      </w:r>
      <w:r w:rsidRPr="00C2548D">
        <w:rPr>
          <w:i/>
          <w:lang w:val="fr-FR"/>
        </w:rPr>
        <w:br/>
      </w:r>
      <w:r w:rsidRPr="00C2548D">
        <w:rPr>
          <w:lang w:val="fr-FR"/>
        </w:rPr>
        <w:tab/>
        <w:t>Faris Vehabović,</w:t>
      </w:r>
      <w:r w:rsidRPr="00C2548D">
        <w:rPr>
          <w:i/>
          <w:lang w:val="fr-FR"/>
        </w:rPr>
        <w:t xml:space="preserve"> juges,</w:t>
      </w:r>
      <w:r w:rsidR="00E77CB3" w:rsidRPr="00C2548D">
        <w:rPr>
          <w:lang w:val="fr-FR"/>
        </w:rPr>
        <w:br/>
        <w:t xml:space="preserve">et de </w:t>
      </w:r>
      <w:r w:rsidR="00041B4B" w:rsidRPr="00C2548D">
        <w:rPr>
          <w:szCs w:val="24"/>
          <w:lang w:val="fr-FR"/>
        </w:rPr>
        <w:t>Fatoş Aracı</w:t>
      </w:r>
      <w:r w:rsidR="00E77CB3" w:rsidRPr="00C2548D">
        <w:rPr>
          <w:lang w:val="fr-FR"/>
        </w:rPr>
        <w:t xml:space="preserve">, </w:t>
      </w:r>
      <w:r w:rsidR="00D67316" w:rsidRPr="00C2548D">
        <w:rPr>
          <w:i/>
          <w:lang w:val="fr-FR"/>
        </w:rPr>
        <w:t>greffière</w:t>
      </w:r>
      <w:r w:rsidR="00D67316" w:rsidRPr="00C2548D">
        <w:rPr>
          <w:iCs/>
          <w:lang w:val="fr-FR"/>
        </w:rPr>
        <w:t xml:space="preserve"> </w:t>
      </w:r>
      <w:r w:rsidR="00562761" w:rsidRPr="00C2548D">
        <w:rPr>
          <w:i/>
          <w:iCs/>
          <w:lang w:val="fr-FR"/>
        </w:rPr>
        <w:t xml:space="preserve">adjointe </w:t>
      </w:r>
      <w:r w:rsidR="00D67316" w:rsidRPr="00C2548D">
        <w:rPr>
          <w:i/>
          <w:iCs/>
          <w:lang w:val="fr-FR"/>
        </w:rPr>
        <w:t>d</w:t>
      </w:r>
      <w:r w:rsidR="00D67316" w:rsidRPr="00C2548D">
        <w:rPr>
          <w:i/>
          <w:lang w:val="fr-FR"/>
        </w:rPr>
        <w:t>e section</w:t>
      </w:r>
      <w:r w:rsidR="00E77CB3" w:rsidRPr="00C2548D">
        <w:rPr>
          <w:lang w:val="fr-FR"/>
        </w:rPr>
        <w:t>,</w:t>
      </w:r>
    </w:p>
    <w:p w:rsidR="00E77CB3" w:rsidRPr="00C2548D" w:rsidRDefault="00E77CB3" w:rsidP="00C63990">
      <w:pPr>
        <w:pStyle w:val="ECHRPara"/>
        <w:rPr>
          <w:lang w:val="fr-FR"/>
        </w:rPr>
      </w:pPr>
      <w:r w:rsidRPr="00C2548D">
        <w:rPr>
          <w:lang w:val="fr-FR"/>
        </w:rPr>
        <w:t xml:space="preserve">Après en avoir délibéré en chambre du conseil le </w:t>
      </w:r>
      <w:r w:rsidR="00795FBD" w:rsidRPr="00C2548D">
        <w:rPr>
          <w:lang w:val="fr-FR"/>
        </w:rPr>
        <w:t>23 juin 2015</w:t>
      </w:r>
      <w:r w:rsidRPr="00C2548D">
        <w:rPr>
          <w:lang w:val="fr-FR"/>
        </w:rPr>
        <w:t>,</w:t>
      </w:r>
    </w:p>
    <w:p w:rsidR="00E77CB3" w:rsidRPr="00C2548D" w:rsidRDefault="00E77CB3" w:rsidP="00C63990">
      <w:pPr>
        <w:pStyle w:val="ECHRPara"/>
        <w:rPr>
          <w:lang w:val="fr-FR"/>
        </w:rPr>
      </w:pPr>
      <w:r w:rsidRPr="00C2548D">
        <w:rPr>
          <w:lang w:val="fr-FR"/>
        </w:rPr>
        <w:t>Rend l</w:t>
      </w:r>
      <w:r w:rsidR="00C2548D">
        <w:rPr>
          <w:lang w:val="fr-FR"/>
        </w:rPr>
        <w:t>’</w:t>
      </w:r>
      <w:r w:rsidRPr="00C2548D">
        <w:rPr>
          <w:lang w:val="fr-FR"/>
        </w:rPr>
        <w:t>arrêt que voici, adopté à cette date :</w:t>
      </w:r>
    </w:p>
    <w:p w:rsidR="00E77CB3" w:rsidRPr="00C2548D" w:rsidRDefault="00E77CB3" w:rsidP="00DF2FEA">
      <w:pPr>
        <w:pStyle w:val="ECHRTitle1"/>
        <w:rPr>
          <w:lang w:val="fr-FR"/>
        </w:rPr>
      </w:pPr>
      <w:r w:rsidRPr="00C2548D">
        <w:rPr>
          <w:lang w:val="fr-FR"/>
        </w:rPr>
        <w:t>PROCÉDURE</w:t>
      </w:r>
    </w:p>
    <w:p w:rsidR="00E77CB3"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w:t>
      </w:r>
      <w:r>
        <w:rPr>
          <w:noProof/>
        </w:rPr>
        <w:fldChar w:fldCharType="end"/>
      </w:r>
      <w:r w:rsidR="00E77CB3" w:rsidRPr="00C2548D">
        <w:rPr>
          <w:lang w:val="fr-FR"/>
        </w:rPr>
        <w:t>.  À l</w:t>
      </w:r>
      <w:r>
        <w:rPr>
          <w:lang w:val="fr-FR"/>
        </w:rPr>
        <w:t>’</w:t>
      </w:r>
      <w:r w:rsidR="00E77CB3" w:rsidRPr="00C2548D">
        <w:rPr>
          <w:lang w:val="fr-FR"/>
        </w:rPr>
        <w:t>origine de l</w:t>
      </w:r>
      <w:r>
        <w:rPr>
          <w:lang w:val="fr-FR"/>
        </w:rPr>
        <w:t>’</w:t>
      </w:r>
      <w:r w:rsidR="00E77CB3" w:rsidRPr="00C2548D">
        <w:rPr>
          <w:lang w:val="fr-FR"/>
        </w:rPr>
        <w:t xml:space="preserve">affaire </w:t>
      </w:r>
      <w:r w:rsidR="00D67316" w:rsidRPr="00C2548D">
        <w:rPr>
          <w:lang w:val="fr-FR"/>
        </w:rPr>
        <w:t>se trouve une requête (n</w:t>
      </w:r>
      <w:r w:rsidR="000C462B" w:rsidRPr="00C2548D">
        <w:rPr>
          <w:vertAlign w:val="superscript"/>
          <w:lang w:val="fr-FR"/>
        </w:rPr>
        <w:t>o</w:t>
      </w:r>
      <w:r w:rsidR="00D67316" w:rsidRPr="00C2548D">
        <w:rPr>
          <w:lang w:val="fr-FR"/>
        </w:rPr>
        <w:t xml:space="preserve"> 9056/14) dirigée</w:t>
      </w:r>
      <w:r w:rsidR="00E77CB3" w:rsidRPr="00C2548D">
        <w:rPr>
          <w:lang w:val="fr-FR"/>
        </w:rPr>
        <w:t xml:space="preserve"> contre </w:t>
      </w:r>
      <w:r w:rsidR="00D67316" w:rsidRPr="00C2548D">
        <w:rPr>
          <w:lang w:val="fr-FR"/>
        </w:rPr>
        <w:t>la République italienne</w:t>
      </w:r>
      <w:r w:rsidR="00E77CB3" w:rsidRPr="00C2548D">
        <w:rPr>
          <w:lang w:val="fr-FR"/>
        </w:rPr>
        <w:t xml:space="preserve"> et dont </w:t>
      </w:r>
      <w:r w:rsidR="00D67316" w:rsidRPr="00C2548D">
        <w:rPr>
          <w:lang w:val="fr-FR"/>
        </w:rPr>
        <w:t>un ressortissant nigérian, M.</w:t>
      </w:r>
      <w:r w:rsidR="00B92E1D" w:rsidRPr="00C2548D">
        <w:rPr>
          <w:lang w:val="fr-FR"/>
        </w:rPr>
        <w:t> </w:t>
      </w:r>
      <w:r w:rsidR="00D67316" w:rsidRPr="00C2548D">
        <w:rPr>
          <w:lang w:val="fr-FR"/>
        </w:rPr>
        <w:t>Eyitope Akinnibosun (« le requérant »), a saisi la Cour le 30 décembre 2013</w:t>
      </w:r>
      <w:r w:rsidR="00E77CB3" w:rsidRPr="00C2548D">
        <w:rPr>
          <w:lang w:val="fr-FR"/>
        </w:rPr>
        <w:t xml:space="preserve"> en vertu de </w:t>
      </w:r>
      <w:r w:rsidR="00D67316" w:rsidRPr="00C2548D">
        <w:rPr>
          <w:lang w:val="fr-FR"/>
        </w:rPr>
        <w:t>l</w:t>
      </w:r>
      <w:r>
        <w:rPr>
          <w:lang w:val="fr-FR"/>
        </w:rPr>
        <w:t>’</w:t>
      </w:r>
      <w:r w:rsidR="00D67316" w:rsidRPr="00C2548D">
        <w:rPr>
          <w:lang w:val="fr-FR"/>
        </w:rPr>
        <w:t>article 34</w:t>
      </w:r>
      <w:r w:rsidR="00E77CB3" w:rsidRPr="00C2548D">
        <w:rPr>
          <w:lang w:val="fr-FR"/>
        </w:rPr>
        <w:t xml:space="preserve"> de la Convention de sauvegarde des droits de l</w:t>
      </w:r>
      <w:r>
        <w:rPr>
          <w:lang w:val="fr-FR"/>
        </w:rPr>
        <w:t>’</w:t>
      </w:r>
      <w:r w:rsidR="00E77CB3" w:rsidRPr="00C2548D">
        <w:rPr>
          <w:lang w:val="fr-FR"/>
        </w:rPr>
        <w:t>homme et des libertés fondamentales (« la Convention »).</w:t>
      </w:r>
    </w:p>
    <w:p w:rsidR="000C462B"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w:t>
      </w:r>
      <w:r>
        <w:rPr>
          <w:noProof/>
        </w:rPr>
        <w:fldChar w:fldCharType="end"/>
      </w:r>
      <w:r w:rsidR="00E77CB3" w:rsidRPr="00C2548D">
        <w:rPr>
          <w:lang w:val="fr-FR"/>
        </w:rPr>
        <w:t>.  </w:t>
      </w:r>
      <w:r w:rsidR="00D67316" w:rsidRPr="00C2548D">
        <w:rPr>
          <w:lang w:val="fr-FR"/>
        </w:rPr>
        <w:t>Le requérant a été représenté par M</w:t>
      </w:r>
      <w:r w:rsidR="00D67316" w:rsidRPr="00C2548D">
        <w:rPr>
          <w:vertAlign w:val="superscript"/>
          <w:lang w:val="fr-FR"/>
        </w:rPr>
        <w:t>e</w:t>
      </w:r>
      <w:r w:rsidR="00D67316" w:rsidRPr="00C2548D">
        <w:rPr>
          <w:lang w:val="fr-FR"/>
        </w:rPr>
        <w:t xml:space="preserve"> L. Garrisi, avocat à Lecce. </w:t>
      </w:r>
      <w:r w:rsidR="00E77CB3" w:rsidRPr="00C2548D">
        <w:rPr>
          <w:lang w:val="fr-FR"/>
        </w:rPr>
        <w:t xml:space="preserve">Le gouvernement </w:t>
      </w:r>
      <w:r w:rsidR="00D67316" w:rsidRPr="00C2548D">
        <w:rPr>
          <w:lang w:val="fr-FR"/>
        </w:rPr>
        <w:t>italien</w:t>
      </w:r>
      <w:r w:rsidR="00E77CB3" w:rsidRPr="00C2548D">
        <w:rPr>
          <w:lang w:val="fr-FR"/>
        </w:rPr>
        <w:t xml:space="preserve"> (« le Gouvernement ») a été représenté par son agent</w:t>
      </w:r>
      <w:r w:rsidR="003D23F7" w:rsidRPr="00C2548D">
        <w:rPr>
          <w:lang w:val="fr-FR"/>
        </w:rPr>
        <w:t>e</w:t>
      </w:r>
      <w:r w:rsidR="00E77CB3" w:rsidRPr="00C2548D">
        <w:rPr>
          <w:lang w:val="fr-FR"/>
        </w:rPr>
        <w:t xml:space="preserve">, </w:t>
      </w:r>
      <w:r w:rsidR="006767B6" w:rsidRPr="00C2548D">
        <w:rPr>
          <w:lang w:val="fr-FR"/>
        </w:rPr>
        <w:t>M</w:t>
      </w:r>
      <w:r w:rsidR="006767B6" w:rsidRPr="00C2548D">
        <w:rPr>
          <w:vertAlign w:val="superscript"/>
          <w:lang w:val="fr-FR"/>
        </w:rPr>
        <w:t>me</w:t>
      </w:r>
      <w:r w:rsidR="00B92E1D" w:rsidRPr="00C2548D">
        <w:rPr>
          <w:lang w:val="fr-FR"/>
        </w:rPr>
        <w:t> </w:t>
      </w:r>
      <w:r w:rsidR="00A73191" w:rsidRPr="00C2548D">
        <w:rPr>
          <w:lang w:val="fr-FR"/>
        </w:rPr>
        <w:t>E. Spatafora et par son coagent M.</w:t>
      </w:r>
      <w:r w:rsidR="00B92E1D" w:rsidRPr="00C2548D">
        <w:rPr>
          <w:lang w:val="fr-FR"/>
        </w:rPr>
        <w:t> </w:t>
      </w:r>
      <w:r w:rsidR="00A73191" w:rsidRPr="00C2548D">
        <w:rPr>
          <w:lang w:val="fr-FR"/>
        </w:rPr>
        <w:t>Gianluca Mauro Pellegrini.</w:t>
      </w:r>
    </w:p>
    <w:p w:rsidR="00E77CB3" w:rsidRPr="00C2548D" w:rsidRDefault="00C2548D" w:rsidP="00C63990">
      <w:pPr>
        <w:pStyle w:val="ECHRPara"/>
        <w:rPr>
          <w:szCs w:val="24"/>
          <w:lang w:val="fr-FR" w:eastAsia="en-GB"/>
        </w:rPr>
      </w:pPr>
      <w:r>
        <w:fldChar w:fldCharType="begin"/>
      </w:r>
      <w:r w:rsidRPr="00C2548D">
        <w:rPr>
          <w:lang w:val="fr-FR"/>
        </w:rPr>
        <w:instrText xml:space="preserve"> SEQ level0 \*arabic </w:instrText>
      </w:r>
      <w:r>
        <w:fldChar w:fldCharType="separate"/>
      </w:r>
      <w:r w:rsidR="00205039" w:rsidRPr="00C2548D">
        <w:rPr>
          <w:noProof/>
          <w:lang w:val="fr-FR"/>
        </w:rPr>
        <w:t>3</w:t>
      </w:r>
      <w:r>
        <w:rPr>
          <w:noProof/>
        </w:rPr>
        <w:fldChar w:fldCharType="end"/>
      </w:r>
      <w:r w:rsidR="00563522" w:rsidRPr="00C2548D">
        <w:rPr>
          <w:lang w:val="fr-FR"/>
        </w:rPr>
        <w:t>.  </w:t>
      </w:r>
      <w:r w:rsidR="00D67316" w:rsidRPr="00C2548D">
        <w:rPr>
          <w:lang w:val="fr-FR"/>
        </w:rPr>
        <w:t xml:space="preserve">Le </w:t>
      </w:r>
      <w:r w:rsidR="00D67316" w:rsidRPr="00C2548D">
        <w:rPr>
          <w:szCs w:val="24"/>
          <w:lang w:val="fr-FR"/>
        </w:rPr>
        <w:t>20 février 2014</w:t>
      </w:r>
      <w:r w:rsidR="00E77CB3" w:rsidRPr="00C2548D">
        <w:rPr>
          <w:lang w:val="fr-FR"/>
        </w:rPr>
        <w:t xml:space="preserve">, </w:t>
      </w:r>
      <w:r w:rsidR="00D67316" w:rsidRPr="00C2548D">
        <w:rPr>
          <w:lang w:val="fr-FR"/>
        </w:rPr>
        <w:t>la requête a été communiquée au Gouvernement</w:t>
      </w:r>
      <w:r w:rsidR="00C1262B" w:rsidRPr="00C2548D">
        <w:rPr>
          <w:lang w:val="fr-FR"/>
        </w:rPr>
        <w:t>.</w:t>
      </w:r>
    </w:p>
    <w:p w:rsidR="00E77CB3" w:rsidRPr="00C2548D" w:rsidRDefault="00E77CB3" w:rsidP="00E77CB3">
      <w:pPr>
        <w:pStyle w:val="ECHRTitle1"/>
        <w:tabs>
          <w:tab w:val="left" w:pos="5387"/>
        </w:tabs>
        <w:rPr>
          <w:lang w:val="fr-FR"/>
        </w:rPr>
      </w:pPr>
      <w:r w:rsidRPr="00C2548D">
        <w:rPr>
          <w:lang w:val="fr-FR"/>
        </w:rPr>
        <w:t>EN FAIT</w:t>
      </w:r>
    </w:p>
    <w:p w:rsidR="00E77CB3" w:rsidRPr="00C2548D" w:rsidRDefault="00E77CB3" w:rsidP="00C63990">
      <w:pPr>
        <w:pStyle w:val="ECHRHeading1"/>
        <w:rPr>
          <w:lang w:val="fr-FR"/>
        </w:rPr>
      </w:pPr>
      <w:r w:rsidRPr="00C2548D">
        <w:rPr>
          <w:lang w:val="fr-FR"/>
        </w:rPr>
        <w:t>I.  LES CIRCONSTANCES DE L</w:t>
      </w:r>
      <w:r w:rsidR="00C2548D">
        <w:rPr>
          <w:lang w:val="fr-FR"/>
        </w:rPr>
        <w:t>’</w:t>
      </w:r>
      <w:r w:rsidRPr="00C2548D">
        <w:rPr>
          <w:lang w:val="fr-FR"/>
        </w:rPr>
        <w:t>ESPÈCE</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w:t>
      </w:r>
      <w:r>
        <w:rPr>
          <w:noProof/>
        </w:rPr>
        <w:fldChar w:fldCharType="end"/>
      </w:r>
      <w:r w:rsidR="00C45146" w:rsidRPr="00C2548D">
        <w:rPr>
          <w:lang w:val="fr-FR"/>
        </w:rPr>
        <w:t>.  </w:t>
      </w:r>
      <w:r w:rsidR="00D67316" w:rsidRPr="00C2548D">
        <w:rPr>
          <w:lang w:val="fr-FR"/>
        </w:rPr>
        <w:t>Les faits de la cause, tels qu</w:t>
      </w:r>
      <w:r>
        <w:rPr>
          <w:lang w:val="fr-FR"/>
        </w:rPr>
        <w:t>’</w:t>
      </w:r>
      <w:r w:rsidR="00D67316" w:rsidRPr="00C2548D">
        <w:rPr>
          <w:lang w:val="fr-FR"/>
        </w:rPr>
        <w:t>ils ont été exposés par les parties, peuvent se résumer comme suit.</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w:t>
      </w:r>
      <w:r>
        <w:rPr>
          <w:noProof/>
        </w:rPr>
        <w:fldChar w:fldCharType="end"/>
      </w:r>
      <w:r w:rsidR="00D67316" w:rsidRPr="00C2548D">
        <w:rPr>
          <w:lang w:val="fr-FR"/>
        </w:rPr>
        <w:t>.  </w:t>
      </w:r>
      <w:r w:rsidR="00DB4124" w:rsidRPr="00C2548D">
        <w:rPr>
          <w:lang w:val="fr-FR"/>
        </w:rPr>
        <w:t>De nationalité nigériane</w:t>
      </w:r>
      <w:r w:rsidR="00D67316" w:rsidRPr="00C2548D">
        <w:rPr>
          <w:lang w:val="fr-FR"/>
        </w:rPr>
        <w:t>,</w:t>
      </w:r>
      <w:r w:rsidR="00DB4124" w:rsidRPr="00C2548D">
        <w:rPr>
          <w:lang w:val="fr-FR"/>
        </w:rPr>
        <w:t xml:space="preserve"> le requérant</w:t>
      </w:r>
      <w:r w:rsidR="00D67316" w:rsidRPr="00C2548D">
        <w:rPr>
          <w:lang w:val="fr-FR"/>
        </w:rPr>
        <w:t xml:space="preserve"> </w:t>
      </w:r>
      <w:r w:rsidR="00B6774E" w:rsidRPr="00C2548D">
        <w:rPr>
          <w:lang w:val="fr-FR"/>
        </w:rPr>
        <w:t xml:space="preserve">prit la mer depuis </w:t>
      </w:r>
      <w:r w:rsidR="00D73835" w:rsidRPr="00C2548D">
        <w:rPr>
          <w:lang w:val="fr-FR"/>
        </w:rPr>
        <w:t>la L</w:t>
      </w:r>
      <w:r w:rsidR="008C7378" w:rsidRPr="00C2548D">
        <w:rPr>
          <w:lang w:val="fr-FR"/>
        </w:rPr>
        <w:t>iby</w:t>
      </w:r>
      <w:r w:rsidR="00D73835" w:rsidRPr="00C2548D">
        <w:rPr>
          <w:lang w:val="fr-FR"/>
        </w:rPr>
        <w:t>e</w:t>
      </w:r>
      <w:r w:rsidR="00B6774E" w:rsidRPr="00C2548D">
        <w:rPr>
          <w:lang w:val="fr-FR"/>
        </w:rPr>
        <w:t>,</w:t>
      </w:r>
      <w:r w:rsidR="00D73835" w:rsidRPr="00C2548D">
        <w:rPr>
          <w:lang w:val="fr-FR"/>
        </w:rPr>
        <w:t xml:space="preserve"> où il vivait avec sa femme et ses deux enfants</w:t>
      </w:r>
      <w:r w:rsidR="00B6774E" w:rsidRPr="00C2548D">
        <w:rPr>
          <w:lang w:val="fr-FR"/>
        </w:rPr>
        <w:t>, à bord d</w:t>
      </w:r>
      <w:r>
        <w:rPr>
          <w:lang w:val="fr-FR"/>
        </w:rPr>
        <w:t>’</w:t>
      </w:r>
      <w:r w:rsidR="00B6774E" w:rsidRPr="00C2548D">
        <w:rPr>
          <w:lang w:val="fr-FR"/>
        </w:rPr>
        <w:t>une embarcation sur laquelle il emmena sa fille A., née en 2006</w:t>
      </w:r>
      <w:r w:rsidR="00D67316" w:rsidRPr="00C2548D">
        <w:rPr>
          <w:lang w:val="fr-FR"/>
        </w:rPr>
        <w:t xml:space="preserve">. Il arriva en Italie en </w:t>
      </w:r>
      <w:r w:rsidR="00CC7130" w:rsidRPr="00C2548D">
        <w:rPr>
          <w:lang w:val="fr-FR"/>
        </w:rPr>
        <w:t>septembre 2008.</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w:t>
      </w:r>
      <w:r>
        <w:rPr>
          <w:noProof/>
        </w:rPr>
        <w:fldChar w:fldCharType="end"/>
      </w:r>
      <w:r w:rsidR="00D67316" w:rsidRPr="00C2548D">
        <w:rPr>
          <w:lang w:val="fr-FR"/>
        </w:rPr>
        <w:t xml:space="preserve">.  Une fois </w:t>
      </w:r>
      <w:r w:rsidR="002756B6" w:rsidRPr="00C2548D">
        <w:rPr>
          <w:lang w:val="fr-FR"/>
        </w:rPr>
        <w:t>sur le territoire italien</w:t>
      </w:r>
      <w:r w:rsidR="00D67316" w:rsidRPr="00C2548D">
        <w:rPr>
          <w:lang w:val="fr-FR"/>
        </w:rPr>
        <w:t xml:space="preserve">, il introduisit une demande de protection internationale. </w:t>
      </w:r>
      <w:r w:rsidR="008C7378" w:rsidRPr="00C2548D">
        <w:rPr>
          <w:lang w:val="fr-FR"/>
        </w:rPr>
        <w:t>À</w:t>
      </w:r>
      <w:r w:rsidR="00D67316" w:rsidRPr="00C2548D">
        <w:rPr>
          <w:lang w:val="fr-FR"/>
        </w:rPr>
        <w:t xml:space="preserve"> une date non précisée, la Commission territoriale </w:t>
      </w:r>
      <w:r w:rsidR="00B6774E" w:rsidRPr="00C2548D">
        <w:rPr>
          <w:lang w:val="fr-FR"/>
        </w:rPr>
        <w:t>de reconnaissance</w:t>
      </w:r>
      <w:r w:rsidR="00D67316" w:rsidRPr="00C2548D">
        <w:rPr>
          <w:lang w:val="fr-FR"/>
        </w:rPr>
        <w:t xml:space="preserve"> du statut de réfugié lui délivra un permis de séjour pour raisons humanitaires.</w:t>
      </w:r>
    </w:p>
    <w:p w:rsidR="003442AD" w:rsidRPr="00C2548D" w:rsidRDefault="00C2548D" w:rsidP="00563522">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w:t>
      </w:r>
      <w:r>
        <w:rPr>
          <w:noProof/>
        </w:rPr>
        <w:fldChar w:fldCharType="end"/>
      </w:r>
      <w:r w:rsidR="00AC7360" w:rsidRPr="00C2548D">
        <w:rPr>
          <w:lang w:val="fr-FR"/>
        </w:rPr>
        <w:t>.  Le requéran</w:t>
      </w:r>
      <w:r w:rsidR="00563522" w:rsidRPr="00C2548D">
        <w:rPr>
          <w:lang w:val="fr-FR"/>
        </w:rPr>
        <w:t>t et sa fille furent accueillis par la municipalité de Trepuzzi</w:t>
      </w:r>
      <w:r w:rsidR="00B643B3" w:rsidRPr="00C2548D">
        <w:rPr>
          <w:lang w:val="fr-FR"/>
        </w:rPr>
        <w:t>. I</w:t>
      </w:r>
      <w:r w:rsidR="00563522" w:rsidRPr="00C2548D">
        <w:rPr>
          <w:lang w:val="fr-FR"/>
        </w:rPr>
        <w:t>nsérés dans un projet pour la protection des réfugiés</w:t>
      </w:r>
      <w:r w:rsidR="00B643B3" w:rsidRPr="00C2548D">
        <w:rPr>
          <w:lang w:val="fr-FR"/>
        </w:rPr>
        <w:t xml:space="preserve">, ils </w:t>
      </w:r>
      <w:r w:rsidR="002756B6" w:rsidRPr="00C2548D">
        <w:rPr>
          <w:lang w:val="fr-FR"/>
        </w:rPr>
        <w:t>bénéficièrent</w:t>
      </w:r>
      <w:r w:rsidR="00563522" w:rsidRPr="00C2548D">
        <w:rPr>
          <w:lang w:val="fr-FR"/>
        </w:rPr>
        <w:t xml:space="preserve"> d</w:t>
      </w:r>
      <w:r>
        <w:rPr>
          <w:lang w:val="fr-FR"/>
        </w:rPr>
        <w:t>’</w:t>
      </w:r>
      <w:r w:rsidR="00563522" w:rsidRPr="00C2548D">
        <w:rPr>
          <w:lang w:val="fr-FR"/>
        </w:rPr>
        <w:t>une aide matérielle, psychologique et d</w:t>
      </w:r>
      <w:r>
        <w:rPr>
          <w:lang w:val="fr-FR"/>
        </w:rPr>
        <w:t>’</w:t>
      </w:r>
      <w:r w:rsidR="00563522" w:rsidRPr="00C2548D">
        <w:rPr>
          <w:lang w:val="fr-FR"/>
        </w:rPr>
        <w:t xml:space="preserve">une assistance </w:t>
      </w:r>
      <w:r w:rsidR="00B643B3" w:rsidRPr="00C2548D">
        <w:rPr>
          <w:lang w:val="fr-FR"/>
        </w:rPr>
        <w:t>juridique</w:t>
      </w:r>
      <w:r w:rsidR="00563522" w:rsidRPr="00C2548D">
        <w:rPr>
          <w:lang w:val="fr-FR"/>
        </w:rPr>
        <w:t>.</w:t>
      </w:r>
    </w:p>
    <w:p w:rsidR="003442AD"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w:t>
      </w:r>
      <w:r>
        <w:rPr>
          <w:noProof/>
        </w:rPr>
        <w:fldChar w:fldCharType="end"/>
      </w:r>
      <w:r w:rsidR="003A4004" w:rsidRPr="00C2548D">
        <w:rPr>
          <w:lang w:val="fr-FR"/>
        </w:rPr>
        <w:t>.  </w:t>
      </w:r>
      <w:r w:rsidR="002756B6" w:rsidRPr="00C2548D">
        <w:rPr>
          <w:lang w:val="fr-FR"/>
        </w:rPr>
        <w:t xml:space="preserve">Au cours de </w:t>
      </w:r>
      <w:r w:rsidR="00563522" w:rsidRPr="00C2548D">
        <w:rPr>
          <w:lang w:val="fr-FR"/>
        </w:rPr>
        <w:t>cette période, les services sociaux commencèrent à surveiller de près le rapport entre le requérant et l</w:t>
      </w:r>
      <w:r>
        <w:rPr>
          <w:lang w:val="fr-FR"/>
        </w:rPr>
        <w:t>’</w:t>
      </w:r>
      <w:r w:rsidR="00563522" w:rsidRPr="00C2548D">
        <w:rPr>
          <w:lang w:val="fr-FR"/>
        </w:rPr>
        <w:t xml:space="preserve">enfant. Les premiers rapports </w:t>
      </w:r>
      <w:r w:rsidR="003A4004" w:rsidRPr="00C2548D">
        <w:rPr>
          <w:lang w:val="fr-FR"/>
        </w:rPr>
        <w:t>déposés</w:t>
      </w:r>
      <w:r w:rsidR="00563522" w:rsidRPr="00C2548D">
        <w:rPr>
          <w:lang w:val="fr-FR"/>
        </w:rPr>
        <w:t xml:space="preserve"> faisaient état d</w:t>
      </w:r>
      <w:r>
        <w:rPr>
          <w:lang w:val="fr-FR"/>
        </w:rPr>
        <w:t>’</w:t>
      </w:r>
      <w:r w:rsidR="00563522" w:rsidRPr="00C2548D">
        <w:rPr>
          <w:lang w:val="fr-FR"/>
        </w:rPr>
        <w:t xml:space="preserve">une relation </w:t>
      </w:r>
      <w:r w:rsidR="003A4004" w:rsidRPr="00C2548D">
        <w:rPr>
          <w:lang w:val="fr-FR"/>
        </w:rPr>
        <w:t>difficile</w:t>
      </w:r>
      <w:r w:rsidR="00C45146" w:rsidRPr="00C2548D">
        <w:rPr>
          <w:lang w:val="fr-FR"/>
        </w:rPr>
        <w:t xml:space="preserve"> </w:t>
      </w:r>
      <w:r w:rsidR="00563522" w:rsidRPr="00C2548D">
        <w:rPr>
          <w:lang w:val="fr-FR"/>
        </w:rPr>
        <w:t xml:space="preserve">entre </w:t>
      </w:r>
      <w:r w:rsidR="00B643B3" w:rsidRPr="00C2548D">
        <w:rPr>
          <w:lang w:val="fr-FR"/>
        </w:rPr>
        <w:t xml:space="preserve">eux </w:t>
      </w:r>
      <w:r w:rsidR="003A4004" w:rsidRPr="00C2548D">
        <w:rPr>
          <w:lang w:val="fr-FR"/>
        </w:rPr>
        <w:t>deux</w:t>
      </w:r>
      <w:r w:rsidR="00563522" w:rsidRPr="00C2548D">
        <w:rPr>
          <w:lang w:val="fr-FR"/>
        </w:rPr>
        <w:t>.</w:t>
      </w:r>
    </w:p>
    <w:p w:rsidR="003A4004" w:rsidRPr="00C2548D" w:rsidRDefault="00C2548D" w:rsidP="003A4004">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9</w:t>
      </w:r>
      <w:r>
        <w:rPr>
          <w:noProof/>
        </w:rPr>
        <w:fldChar w:fldCharType="end"/>
      </w:r>
      <w:r w:rsidR="003A4004" w:rsidRPr="00C2548D">
        <w:rPr>
          <w:lang w:val="fr-FR"/>
        </w:rPr>
        <w:t>.  En avril 2009, les services sociaux déposèrent un rapport sur la situation de A.</w:t>
      </w:r>
      <w:r w:rsidR="00B643B3" w:rsidRPr="00C2548D">
        <w:rPr>
          <w:lang w:val="fr-FR"/>
        </w:rPr>
        <w:t xml:space="preserve"> </w:t>
      </w:r>
      <w:r w:rsidR="003A4004" w:rsidRPr="00C2548D">
        <w:rPr>
          <w:lang w:val="fr-FR"/>
        </w:rPr>
        <w:t xml:space="preserve">Ce rapport </w:t>
      </w:r>
      <w:r w:rsidR="00B643B3" w:rsidRPr="00C2548D">
        <w:rPr>
          <w:lang w:val="fr-FR"/>
        </w:rPr>
        <w:t>décrivait une</w:t>
      </w:r>
      <w:r w:rsidR="003A4004" w:rsidRPr="00C2548D">
        <w:rPr>
          <w:lang w:val="fr-FR"/>
        </w:rPr>
        <w:t xml:space="preserve"> enfant en détresse et une relation difficile entre le requérant et s</w:t>
      </w:r>
      <w:r w:rsidR="00980CC2" w:rsidRPr="00C2548D">
        <w:rPr>
          <w:lang w:val="fr-FR"/>
        </w:rPr>
        <w:t>a fille. Selon la psychiatre qui</w:t>
      </w:r>
      <w:r w:rsidR="003A4004" w:rsidRPr="00C2548D">
        <w:rPr>
          <w:lang w:val="fr-FR"/>
        </w:rPr>
        <w:t xml:space="preserve"> avait rencontré </w:t>
      </w:r>
      <w:r w:rsidR="002756B6" w:rsidRPr="00C2548D">
        <w:rPr>
          <w:lang w:val="fr-FR"/>
        </w:rPr>
        <w:t>l</w:t>
      </w:r>
      <w:r>
        <w:rPr>
          <w:lang w:val="fr-FR"/>
        </w:rPr>
        <w:t>’</w:t>
      </w:r>
      <w:r w:rsidR="002756B6" w:rsidRPr="00C2548D">
        <w:rPr>
          <w:lang w:val="fr-FR"/>
        </w:rPr>
        <w:t xml:space="preserve">enfant </w:t>
      </w:r>
      <w:r w:rsidR="003A4004" w:rsidRPr="00C2548D">
        <w:rPr>
          <w:lang w:val="fr-FR"/>
        </w:rPr>
        <w:t>en 2008</w:t>
      </w:r>
      <w:r w:rsidR="00980CC2" w:rsidRPr="00C2548D">
        <w:rPr>
          <w:lang w:val="fr-FR"/>
        </w:rPr>
        <w:t>,</w:t>
      </w:r>
      <w:r w:rsidR="003A4004" w:rsidRPr="00C2548D">
        <w:rPr>
          <w:lang w:val="fr-FR"/>
        </w:rPr>
        <w:t xml:space="preserve"> </w:t>
      </w:r>
      <w:r w:rsidR="00B643B3" w:rsidRPr="00C2548D">
        <w:rPr>
          <w:lang w:val="fr-FR"/>
        </w:rPr>
        <w:t xml:space="preserve">celle-ci </w:t>
      </w:r>
      <w:r w:rsidR="003A4004" w:rsidRPr="00C2548D">
        <w:rPr>
          <w:lang w:val="fr-FR"/>
        </w:rPr>
        <w:t>souffrait d</w:t>
      </w:r>
      <w:r>
        <w:rPr>
          <w:lang w:val="fr-FR"/>
        </w:rPr>
        <w:t>’</w:t>
      </w:r>
      <w:r w:rsidR="003A4004" w:rsidRPr="00C2548D">
        <w:rPr>
          <w:lang w:val="fr-FR"/>
        </w:rPr>
        <w:t>un stress po</w:t>
      </w:r>
      <w:r w:rsidR="00C45146" w:rsidRPr="00C2548D">
        <w:rPr>
          <w:lang w:val="fr-FR"/>
        </w:rPr>
        <w:t>s</w:t>
      </w:r>
      <w:r w:rsidR="003A4004" w:rsidRPr="00C2548D">
        <w:rPr>
          <w:lang w:val="fr-FR"/>
        </w:rPr>
        <w:t>t</w:t>
      </w:r>
      <w:r w:rsidR="008C7378" w:rsidRPr="00C2548D">
        <w:rPr>
          <w:lang w:val="fr-FR"/>
        </w:rPr>
        <w:t>-</w:t>
      </w:r>
      <w:r w:rsidR="003A4004" w:rsidRPr="00C2548D">
        <w:rPr>
          <w:lang w:val="fr-FR"/>
        </w:rPr>
        <w:t>traumatique, elle se sentait abandonn</w:t>
      </w:r>
      <w:r w:rsidR="00C45146" w:rsidRPr="00C2548D">
        <w:rPr>
          <w:lang w:val="fr-FR"/>
        </w:rPr>
        <w:t>ée et avait besoin d</w:t>
      </w:r>
      <w:r>
        <w:rPr>
          <w:lang w:val="fr-FR"/>
        </w:rPr>
        <w:t>’</w:t>
      </w:r>
      <w:r w:rsidR="00C45146" w:rsidRPr="00C2548D">
        <w:rPr>
          <w:lang w:val="fr-FR"/>
        </w:rPr>
        <w:t xml:space="preserve">être aidée. </w:t>
      </w:r>
      <w:r w:rsidR="003A4004" w:rsidRPr="00C2548D">
        <w:rPr>
          <w:lang w:val="fr-FR"/>
        </w:rPr>
        <w:t xml:space="preserve">Quant au requérant, </w:t>
      </w:r>
      <w:r w:rsidR="00C45146" w:rsidRPr="00C2548D">
        <w:rPr>
          <w:lang w:val="fr-FR"/>
        </w:rPr>
        <w:t>les services</w:t>
      </w:r>
      <w:r w:rsidR="003A4004" w:rsidRPr="00C2548D">
        <w:rPr>
          <w:lang w:val="fr-FR"/>
        </w:rPr>
        <w:t xml:space="preserve"> sociaux remarquèrent qu</w:t>
      </w:r>
      <w:r>
        <w:rPr>
          <w:lang w:val="fr-FR"/>
        </w:rPr>
        <w:t>’</w:t>
      </w:r>
      <w:r w:rsidR="003A4004" w:rsidRPr="00C2548D">
        <w:rPr>
          <w:lang w:val="fr-FR"/>
        </w:rPr>
        <w:t xml:space="preserve">il avait une difficulté </w:t>
      </w:r>
      <w:r w:rsidR="00B643B3" w:rsidRPr="00C2548D">
        <w:rPr>
          <w:lang w:val="fr-FR"/>
        </w:rPr>
        <w:t>relationnelle</w:t>
      </w:r>
      <w:r w:rsidR="003A4004" w:rsidRPr="00C2548D">
        <w:rPr>
          <w:lang w:val="fr-FR"/>
        </w:rPr>
        <w:t xml:space="preserve"> avec l</w:t>
      </w:r>
      <w:r>
        <w:rPr>
          <w:lang w:val="fr-FR"/>
        </w:rPr>
        <w:t>’</w:t>
      </w:r>
      <w:r w:rsidR="003A4004" w:rsidRPr="00C2548D">
        <w:rPr>
          <w:lang w:val="fr-FR"/>
        </w:rPr>
        <w:t>enfant.</w:t>
      </w:r>
    </w:p>
    <w:p w:rsidR="003442AD" w:rsidRPr="00C2548D" w:rsidRDefault="00C2548D" w:rsidP="003A4004">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10</w:t>
      </w:r>
      <w:r>
        <w:rPr>
          <w:noProof/>
        </w:rPr>
        <w:fldChar w:fldCharType="end"/>
      </w:r>
      <w:r w:rsidR="003A4004" w:rsidRPr="00C2548D">
        <w:rPr>
          <w:lang w:val="fr-FR"/>
        </w:rPr>
        <w:t>.  Le 2 avril 2009, soupçonné de faire partie d</w:t>
      </w:r>
      <w:r>
        <w:rPr>
          <w:lang w:val="fr-FR"/>
        </w:rPr>
        <w:t>’</w:t>
      </w:r>
      <w:r w:rsidR="003A4004" w:rsidRPr="00C2548D">
        <w:rPr>
          <w:lang w:val="fr-FR"/>
        </w:rPr>
        <w:t xml:space="preserve">une association de malfaiteurs </w:t>
      </w:r>
      <w:r w:rsidR="00B643B3" w:rsidRPr="00C2548D">
        <w:rPr>
          <w:lang w:val="fr-FR"/>
        </w:rPr>
        <w:t>en vue de pratiquer le</w:t>
      </w:r>
      <w:r w:rsidR="003A4004" w:rsidRPr="00C2548D">
        <w:rPr>
          <w:lang w:val="fr-FR"/>
        </w:rPr>
        <w:t xml:space="preserve"> trafic de clandestins</w:t>
      </w:r>
      <w:r w:rsidR="00B643B3" w:rsidRPr="00C2548D">
        <w:rPr>
          <w:lang w:val="fr-FR"/>
        </w:rPr>
        <w:t>, le requérant fut arrêté</w:t>
      </w:r>
      <w:r w:rsidR="003A4004" w:rsidRPr="00C2548D">
        <w:rPr>
          <w:lang w:val="fr-FR"/>
        </w:rPr>
        <w:t>. Il fut placé en détention préventive.</w:t>
      </w:r>
    </w:p>
    <w:p w:rsidR="003A4004" w:rsidRPr="00C2548D" w:rsidRDefault="00C2548D" w:rsidP="003A4004">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11</w:t>
      </w:r>
      <w:r>
        <w:rPr>
          <w:noProof/>
        </w:rPr>
        <w:fldChar w:fldCharType="end"/>
      </w:r>
      <w:r w:rsidR="003A4004" w:rsidRPr="00C2548D">
        <w:rPr>
          <w:lang w:val="fr-FR"/>
        </w:rPr>
        <w:t xml:space="preserve">.  Entre-temps, le 18 avril 2009, le </w:t>
      </w:r>
      <w:r w:rsidR="00EE431A" w:rsidRPr="00C2548D">
        <w:rPr>
          <w:lang w:val="fr-FR"/>
        </w:rPr>
        <w:t xml:space="preserve">tribunal </w:t>
      </w:r>
      <w:r w:rsidR="00BF7F07" w:rsidRPr="00C2548D">
        <w:rPr>
          <w:lang w:val="fr-FR"/>
        </w:rPr>
        <w:t>pour</w:t>
      </w:r>
      <w:r w:rsidR="00EE431A" w:rsidRPr="00C2548D">
        <w:rPr>
          <w:lang w:val="fr-FR"/>
        </w:rPr>
        <w:t xml:space="preserve"> enfants</w:t>
      </w:r>
      <w:r w:rsidR="003A4004" w:rsidRPr="00C2548D">
        <w:rPr>
          <w:lang w:val="fr-FR"/>
        </w:rPr>
        <w:t xml:space="preserve"> de Lecce (</w:t>
      </w:r>
      <w:r w:rsidR="006767B6" w:rsidRPr="00C2548D">
        <w:rPr>
          <w:lang w:val="fr-FR"/>
        </w:rPr>
        <w:t>ci</w:t>
      </w:r>
      <w:r w:rsidR="006767B6" w:rsidRPr="00C2548D">
        <w:rPr>
          <w:lang w:val="fr-FR"/>
        </w:rPr>
        <w:noBreakHyphen/>
      </w:r>
      <w:r w:rsidR="003A4004" w:rsidRPr="00C2548D">
        <w:rPr>
          <w:lang w:val="fr-FR"/>
        </w:rPr>
        <w:t xml:space="preserve">après « le tribunal ») décida de placer la fille du requérant dans un </w:t>
      </w:r>
      <w:r w:rsidR="00A50EB6" w:rsidRPr="00C2548D">
        <w:rPr>
          <w:lang w:val="fr-FR"/>
        </w:rPr>
        <w:t xml:space="preserve">foyer </w:t>
      </w:r>
      <w:r w:rsidR="003A4004" w:rsidRPr="00C2548D">
        <w:rPr>
          <w:lang w:val="fr-FR"/>
        </w:rPr>
        <w:t>à Ostuni.</w:t>
      </w:r>
    </w:p>
    <w:p w:rsidR="00AC7360" w:rsidRPr="00C2548D" w:rsidRDefault="00C2548D" w:rsidP="003A4004">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12</w:t>
      </w:r>
      <w:r>
        <w:rPr>
          <w:noProof/>
        </w:rPr>
        <w:fldChar w:fldCharType="end"/>
      </w:r>
      <w:r w:rsidR="003A4004" w:rsidRPr="00C2548D">
        <w:rPr>
          <w:lang w:val="fr-FR"/>
        </w:rPr>
        <w:t>.  Le 6 juin 2009, les services sociaux déposèrent un aut</w:t>
      </w:r>
      <w:r w:rsidR="00B02C8E" w:rsidRPr="00C2548D">
        <w:rPr>
          <w:lang w:val="fr-FR"/>
        </w:rPr>
        <w:t xml:space="preserve">re rapport, qui </w:t>
      </w:r>
      <w:r w:rsidR="00B643B3" w:rsidRPr="00C2548D">
        <w:rPr>
          <w:lang w:val="fr-FR"/>
        </w:rPr>
        <w:t xml:space="preserve">indiquait </w:t>
      </w:r>
      <w:r w:rsidR="00B02C8E" w:rsidRPr="00C2548D">
        <w:rPr>
          <w:lang w:val="fr-FR"/>
        </w:rPr>
        <w:t xml:space="preserve">que </w:t>
      </w:r>
      <w:r w:rsidR="00B643B3" w:rsidRPr="00C2548D">
        <w:rPr>
          <w:lang w:val="fr-FR"/>
        </w:rPr>
        <w:t>l</w:t>
      </w:r>
      <w:r>
        <w:rPr>
          <w:lang w:val="fr-FR"/>
        </w:rPr>
        <w:t>’</w:t>
      </w:r>
      <w:r w:rsidR="00B643B3" w:rsidRPr="00C2548D">
        <w:rPr>
          <w:lang w:val="fr-FR"/>
        </w:rPr>
        <w:t xml:space="preserve">enfant </w:t>
      </w:r>
      <w:r w:rsidR="003A4004" w:rsidRPr="00C2548D">
        <w:rPr>
          <w:lang w:val="fr-FR"/>
        </w:rPr>
        <w:t>se réveillait la nuit en criant et soulign</w:t>
      </w:r>
      <w:r w:rsidR="00B643B3" w:rsidRPr="00C2548D">
        <w:rPr>
          <w:lang w:val="fr-FR"/>
        </w:rPr>
        <w:t xml:space="preserve">ait </w:t>
      </w:r>
      <w:r w:rsidR="003A4004" w:rsidRPr="00C2548D">
        <w:rPr>
          <w:lang w:val="fr-FR"/>
        </w:rPr>
        <w:t>qu</w:t>
      </w:r>
      <w:r>
        <w:rPr>
          <w:lang w:val="fr-FR"/>
        </w:rPr>
        <w:t>’</w:t>
      </w:r>
      <w:r w:rsidR="003A4004" w:rsidRPr="00C2548D">
        <w:rPr>
          <w:lang w:val="fr-FR"/>
        </w:rPr>
        <w:t>elle avait besoin de la présence d</w:t>
      </w:r>
      <w:r>
        <w:rPr>
          <w:lang w:val="fr-FR"/>
        </w:rPr>
        <w:t>’</w:t>
      </w:r>
      <w:r w:rsidR="003A4004" w:rsidRPr="00C2548D">
        <w:rPr>
          <w:lang w:val="fr-FR"/>
        </w:rPr>
        <w:t xml:space="preserve">un adulte </w:t>
      </w:r>
      <w:r w:rsidR="00C45146" w:rsidRPr="00C2548D">
        <w:rPr>
          <w:lang w:val="fr-FR"/>
        </w:rPr>
        <w:t>afin d</w:t>
      </w:r>
      <w:r>
        <w:rPr>
          <w:lang w:val="fr-FR"/>
        </w:rPr>
        <w:t>’</w:t>
      </w:r>
      <w:r w:rsidR="00C45146" w:rsidRPr="00C2548D">
        <w:rPr>
          <w:lang w:val="fr-FR"/>
        </w:rPr>
        <w:t>être rassurée</w:t>
      </w:r>
      <w:r w:rsidR="003A4004" w:rsidRPr="00C2548D">
        <w:rPr>
          <w:lang w:val="fr-FR"/>
        </w:rPr>
        <w:t>.</w:t>
      </w:r>
    </w:p>
    <w:p w:rsidR="003A4004" w:rsidRPr="00C2548D" w:rsidRDefault="00C2548D" w:rsidP="003A4004">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13</w:t>
      </w:r>
      <w:r>
        <w:rPr>
          <w:noProof/>
        </w:rPr>
        <w:fldChar w:fldCharType="end"/>
      </w:r>
      <w:r w:rsidR="003A4004" w:rsidRPr="00C2548D">
        <w:rPr>
          <w:lang w:val="fr-FR"/>
        </w:rPr>
        <w:t>.  Par un décret du 21 janvier 2010</w:t>
      </w:r>
      <w:r w:rsidR="008C7378" w:rsidRPr="00C2548D">
        <w:rPr>
          <w:lang w:val="fr-FR"/>
        </w:rPr>
        <w:t>,</w:t>
      </w:r>
      <w:r w:rsidR="003A4004" w:rsidRPr="00C2548D">
        <w:rPr>
          <w:lang w:val="fr-FR"/>
        </w:rPr>
        <w:t xml:space="preserve"> le tribunal suspendit l</w:t>
      </w:r>
      <w:r>
        <w:rPr>
          <w:lang w:val="fr-FR"/>
        </w:rPr>
        <w:t>’</w:t>
      </w:r>
      <w:r w:rsidR="003A4004" w:rsidRPr="00C2548D">
        <w:rPr>
          <w:lang w:val="fr-FR"/>
        </w:rPr>
        <w:t xml:space="preserve">autorité parentale du requérant, nomma un tuteur, et décida le placement de </w:t>
      </w:r>
      <w:r w:rsidR="00B643B3" w:rsidRPr="00C2548D">
        <w:rPr>
          <w:lang w:val="fr-FR"/>
        </w:rPr>
        <w:t>l</w:t>
      </w:r>
      <w:r>
        <w:rPr>
          <w:lang w:val="fr-FR"/>
        </w:rPr>
        <w:t>’</w:t>
      </w:r>
      <w:r w:rsidR="00B643B3" w:rsidRPr="00C2548D">
        <w:rPr>
          <w:lang w:val="fr-FR"/>
        </w:rPr>
        <w:t>enfant</w:t>
      </w:r>
      <w:r w:rsidR="003A4004" w:rsidRPr="00C2548D">
        <w:rPr>
          <w:lang w:val="fr-FR"/>
        </w:rPr>
        <w:t xml:space="preserve"> dans une famille d</w:t>
      </w:r>
      <w:r>
        <w:rPr>
          <w:lang w:val="fr-FR"/>
        </w:rPr>
        <w:t>’</w:t>
      </w:r>
      <w:r w:rsidR="003A4004" w:rsidRPr="00C2548D">
        <w:rPr>
          <w:lang w:val="fr-FR"/>
        </w:rPr>
        <w:t>accueil.</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14</w:t>
      </w:r>
      <w:r>
        <w:rPr>
          <w:noProof/>
        </w:rPr>
        <w:fldChar w:fldCharType="end"/>
      </w:r>
      <w:r w:rsidR="00D67316" w:rsidRPr="00C2548D">
        <w:rPr>
          <w:lang w:val="fr-FR"/>
        </w:rPr>
        <w:t>.  Par un arrêt du 7 juillet 2011, le requérant fut acquitté et remis en liberté.</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15</w:t>
      </w:r>
      <w:r>
        <w:rPr>
          <w:noProof/>
        </w:rPr>
        <w:fldChar w:fldCharType="end"/>
      </w:r>
      <w:r w:rsidR="00D67316" w:rsidRPr="00C2548D">
        <w:rPr>
          <w:lang w:val="fr-FR"/>
        </w:rPr>
        <w:t xml:space="preserve">.  Une fois </w:t>
      </w:r>
      <w:r w:rsidR="00B643B3" w:rsidRPr="00C2548D">
        <w:rPr>
          <w:lang w:val="fr-FR"/>
        </w:rPr>
        <w:t>libéré</w:t>
      </w:r>
      <w:r w:rsidR="00D67316" w:rsidRPr="00C2548D">
        <w:rPr>
          <w:lang w:val="fr-FR"/>
        </w:rPr>
        <w:t>, le requérant demanda à pouvoir rencontrer sa fille.</w:t>
      </w:r>
    </w:p>
    <w:p w:rsidR="00E10DF2" w:rsidRPr="00C2548D" w:rsidRDefault="007D5CCA" w:rsidP="007D5CCA">
      <w:pPr>
        <w:pStyle w:val="ECHRHeading2"/>
        <w:rPr>
          <w:lang w:val="fr-FR"/>
        </w:rPr>
      </w:pPr>
      <w:r w:rsidRPr="00C2548D">
        <w:rPr>
          <w:lang w:val="fr-FR"/>
        </w:rPr>
        <w:t>A.  </w:t>
      </w:r>
      <w:r w:rsidR="00B643B3" w:rsidRPr="00C2548D">
        <w:rPr>
          <w:lang w:val="fr-FR"/>
        </w:rPr>
        <w:t>La p</w:t>
      </w:r>
      <w:r w:rsidR="00E10DF2" w:rsidRPr="00C2548D">
        <w:rPr>
          <w:lang w:val="fr-FR"/>
        </w:rPr>
        <w:t>rocédure portant sur le droit de visite</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16</w:t>
      </w:r>
      <w:r>
        <w:rPr>
          <w:noProof/>
        </w:rPr>
        <w:fldChar w:fldCharType="end"/>
      </w:r>
      <w:r w:rsidR="00D67316" w:rsidRPr="00C2548D">
        <w:rPr>
          <w:lang w:val="fr-FR"/>
        </w:rPr>
        <w:t>.  Le 23 février 2012, un test ADN fut effectué pour vérifier le lien entre le requérant et l</w:t>
      </w:r>
      <w:r>
        <w:rPr>
          <w:lang w:val="fr-FR"/>
        </w:rPr>
        <w:t>’</w:t>
      </w:r>
      <w:r w:rsidR="00D67316" w:rsidRPr="00C2548D">
        <w:rPr>
          <w:lang w:val="fr-FR"/>
        </w:rPr>
        <w:t xml:space="preserve">enfant. Les résultats du test démontraient </w:t>
      </w:r>
      <w:r w:rsidR="00B643B3" w:rsidRPr="00C2548D">
        <w:rPr>
          <w:lang w:val="fr-FR"/>
        </w:rPr>
        <w:t xml:space="preserve">apparemment </w:t>
      </w:r>
      <w:r w:rsidR="00D67316" w:rsidRPr="00C2548D">
        <w:rPr>
          <w:lang w:val="fr-FR"/>
        </w:rPr>
        <w:t>qu</w:t>
      </w:r>
      <w:r>
        <w:rPr>
          <w:lang w:val="fr-FR"/>
        </w:rPr>
        <w:t>’</w:t>
      </w:r>
      <w:r w:rsidR="00D67316" w:rsidRPr="00C2548D">
        <w:rPr>
          <w:lang w:val="fr-FR"/>
        </w:rPr>
        <w:t>il y avait un lien génétique entre les deux.</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17</w:t>
      </w:r>
      <w:r>
        <w:rPr>
          <w:noProof/>
        </w:rPr>
        <w:fldChar w:fldCharType="end"/>
      </w:r>
      <w:r w:rsidR="00D67316" w:rsidRPr="00C2548D">
        <w:rPr>
          <w:lang w:val="fr-FR"/>
        </w:rPr>
        <w:t xml:space="preserve">.  Le 17 mai 2012, A. fut entendue par le </w:t>
      </w:r>
      <w:r w:rsidR="00EE431A" w:rsidRPr="00C2548D">
        <w:rPr>
          <w:lang w:val="fr-FR"/>
        </w:rPr>
        <w:t>tribunal</w:t>
      </w:r>
      <w:r w:rsidR="003573B0" w:rsidRPr="00C2548D">
        <w:rPr>
          <w:lang w:val="fr-FR"/>
        </w:rPr>
        <w:t xml:space="preserve"> pour </w:t>
      </w:r>
      <w:r w:rsidR="00EE431A" w:rsidRPr="00C2548D">
        <w:rPr>
          <w:lang w:val="fr-FR"/>
        </w:rPr>
        <w:t>enfants</w:t>
      </w:r>
      <w:r w:rsidR="00D67316" w:rsidRPr="00C2548D">
        <w:rPr>
          <w:lang w:val="fr-FR"/>
        </w:rPr>
        <w:t xml:space="preserve">. Elle reconnut le requérant </w:t>
      </w:r>
      <w:r w:rsidR="00B643B3" w:rsidRPr="00C2548D">
        <w:rPr>
          <w:lang w:val="fr-FR"/>
        </w:rPr>
        <w:t xml:space="preserve">sur </w:t>
      </w:r>
      <w:r w:rsidR="00D67316" w:rsidRPr="00C2548D">
        <w:rPr>
          <w:lang w:val="fr-FR"/>
        </w:rPr>
        <w:t xml:space="preserve">une photo, en </w:t>
      </w:r>
      <w:r w:rsidR="00B643B3" w:rsidRPr="00C2548D">
        <w:rPr>
          <w:lang w:val="fr-FR"/>
        </w:rPr>
        <w:t xml:space="preserve">le désignant </w:t>
      </w:r>
      <w:r w:rsidR="00D67316" w:rsidRPr="00C2548D">
        <w:rPr>
          <w:lang w:val="fr-FR"/>
        </w:rPr>
        <w:t>comme « le papa qu</w:t>
      </w:r>
      <w:r>
        <w:rPr>
          <w:lang w:val="fr-FR"/>
        </w:rPr>
        <w:t>’</w:t>
      </w:r>
      <w:r w:rsidR="00D67316" w:rsidRPr="00C2548D">
        <w:rPr>
          <w:lang w:val="fr-FR"/>
        </w:rPr>
        <w:t>elle avait avant et qui parlait anglais »</w:t>
      </w:r>
      <w:r w:rsidR="00B643B3" w:rsidRPr="00C2548D">
        <w:rPr>
          <w:lang w:val="fr-FR"/>
        </w:rPr>
        <w:t xml:space="preserve"> ; elle </w:t>
      </w:r>
      <w:r w:rsidR="00D67316" w:rsidRPr="00C2548D">
        <w:rPr>
          <w:lang w:val="fr-FR"/>
        </w:rPr>
        <w:t>ne s</w:t>
      </w:r>
      <w:r>
        <w:rPr>
          <w:lang w:val="fr-FR"/>
        </w:rPr>
        <w:t>’</w:t>
      </w:r>
      <w:r w:rsidR="00D67316" w:rsidRPr="00C2548D">
        <w:rPr>
          <w:lang w:val="fr-FR"/>
        </w:rPr>
        <w:t>opposa pas à une éventuelle rencontre.</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18</w:t>
      </w:r>
      <w:r>
        <w:rPr>
          <w:noProof/>
        </w:rPr>
        <w:fldChar w:fldCharType="end"/>
      </w:r>
      <w:r w:rsidR="00D67316" w:rsidRPr="00C2548D">
        <w:rPr>
          <w:lang w:val="fr-FR"/>
        </w:rPr>
        <w:t xml:space="preserve">.  Par un décret du 19 juillet 2012, le </w:t>
      </w:r>
      <w:r w:rsidR="00EE431A" w:rsidRPr="00C2548D">
        <w:rPr>
          <w:lang w:val="fr-FR"/>
        </w:rPr>
        <w:t xml:space="preserve">tribunal </w:t>
      </w:r>
      <w:r w:rsidR="00D67316" w:rsidRPr="00C2548D">
        <w:rPr>
          <w:lang w:val="fr-FR"/>
        </w:rPr>
        <w:t xml:space="preserve">autorisa les rencontres entre le requérant et sa fille : une première rencontre devait avoir lieu </w:t>
      </w:r>
      <w:r w:rsidR="00FF5823" w:rsidRPr="00C2548D">
        <w:rPr>
          <w:lang w:val="fr-FR"/>
        </w:rPr>
        <w:t>en</w:t>
      </w:r>
      <w:r w:rsidR="00D67316" w:rsidRPr="00C2548D">
        <w:rPr>
          <w:lang w:val="fr-FR"/>
        </w:rPr>
        <w:t xml:space="preserve"> présence des services sociaux.</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19</w:t>
      </w:r>
      <w:r>
        <w:rPr>
          <w:noProof/>
        </w:rPr>
        <w:fldChar w:fldCharType="end"/>
      </w:r>
      <w:r w:rsidR="00D67316" w:rsidRPr="00C2548D">
        <w:rPr>
          <w:lang w:val="fr-FR"/>
        </w:rPr>
        <w:t>.  Le 30 juillet 2012 eut lieu la première rencontre entre A. et le requérant</w:t>
      </w:r>
      <w:r w:rsidR="00FF5823" w:rsidRPr="00C2548D">
        <w:rPr>
          <w:lang w:val="fr-FR"/>
        </w:rPr>
        <w:t>,</w:t>
      </w:r>
      <w:r w:rsidR="00D67316" w:rsidRPr="00C2548D">
        <w:rPr>
          <w:lang w:val="fr-FR"/>
        </w:rPr>
        <w:t xml:space="preserve"> </w:t>
      </w:r>
      <w:r w:rsidR="00980CC2" w:rsidRPr="00C2548D">
        <w:rPr>
          <w:lang w:val="fr-FR"/>
        </w:rPr>
        <w:t>en</w:t>
      </w:r>
      <w:r w:rsidR="00D67316" w:rsidRPr="00C2548D">
        <w:rPr>
          <w:lang w:val="fr-FR"/>
        </w:rPr>
        <w:t xml:space="preserve"> présence des services sociaux.</w:t>
      </w:r>
    </w:p>
    <w:p w:rsidR="003442AD"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20</w:t>
      </w:r>
      <w:r>
        <w:rPr>
          <w:noProof/>
        </w:rPr>
        <w:fldChar w:fldCharType="end"/>
      </w:r>
      <w:r w:rsidR="00C45146" w:rsidRPr="00C2548D">
        <w:rPr>
          <w:lang w:val="fr-FR"/>
        </w:rPr>
        <w:t>.  </w:t>
      </w:r>
      <w:r w:rsidR="003675B7" w:rsidRPr="00C2548D">
        <w:rPr>
          <w:lang w:val="fr-FR"/>
        </w:rPr>
        <w:t>Le 17 août 2012</w:t>
      </w:r>
      <w:r w:rsidR="008C7378" w:rsidRPr="00C2548D">
        <w:rPr>
          <w:lang w:val="fr-FR"/>
        </w:rPr>
        <w:t>,</w:t>
      </w:r>
      <w:r w:rsidR="003675B7" w:rsidRPr="00C2548D">
        <w:rPr>
          <w:lang w:val="fr-FR"/>
        </w:rPr>
        <w:t xml:space="preserve"> les services sociaux déposèrent un rapport sur le déroulement de la rencontre.</w:t>
      </w:r>
      <w:r w:rsidR="00B24975" w:rsidRPr="00C2548D">
        <w:rPr>
          <w:lang w:val="fr-FR"/>
        </w:rPr>
        <w:t xml:space="preserve"> </w:t>
      </w:r>
      <w:r w:rsidR="00FF5823" w:rsidRPr="00C2548D">
        <w:rPr>
          <w:lang w:val="fr-FR"/>
        </w:rPr>
        <w:t>Ce rapport donnait entre autres les informations suivantes :</w:t>
      </w:r>
    </w:p>
    <w:p w:rsidR="003675B7" w:rsidRPr="00C2548D" w:rsidRDefault="00FF5823" w:rsidP="00D67316">
      <w:pPr>
        <w:pStyle w:val="ECHRPara"/>
        <w:rPr>
          <w:lang w:val="fr-FR"/>
        </w:rPr>
      </w:pPr>
      <w:r w:rsidRPr="00C2548D">
        <w:rPr>
          <w:lang w:val="fr-FR"/>
        </w:rPr>
        <w:t>–</w:t>
      </w:r>
      <w:r w:rsidR="0010556A" w:rsidRPr="00C2548D">
        <w:rPr>
          <w:lang w:val="fr-FR"/>
        </w:rPr>
        <w:t>  </w:t>
      </w:r>
      <w:r w:rsidRPr="00C2548D">
        <w:rPr>
          <w:lang w:val="fr-FR"/>
        </w:rPr>
        <w:t>Le psychologue avait trouvé l</w:t>
      </w:r>
      <w:r w:rsidR="00C2548D">
        <w:rPr>
          <w:lang w:val="fr-FR"/>
        </w:rPr>
        <w:t>’</w:t>
      </w:r>
      <w:r w:rsidRPr="00C2548D">
        <w:rPr>
          <w:lang w:val="fr-FR"/>
        </w:rPr>
        <w:t>enfant</w:t>
      </w:r>
      <w:r w:rsidR="00B24975" w:rsidRPr="00C2548D">
        <w:rPr>
          <w:lang w:val="fr-FR"/>
        </w:rPr>
        <w:t xml:space="preserve"> très tendue</w:t>
      </w:r>
      <w:r w:rsidRPr="00C2548D">
        <w:rPr>
          <w:lang w:val="fr-FR"/>
        </w:rPr>
        <w:t xml:space="preserve">. </w:t>
      </w:r>
      <w:r w:rsidR="008C7378" w:rsidRPr="00C2548D">
        <w:rPr>
          <w:lang w:val="fr-FR"/>
        </w:rPr>
        <w:t>À</w:t>
      </w:r>
      <w:r w:rsidR="00B24975" w:rsidRPr="00C2548D">
        <w:rPr>
          <w:lang w:val="fr-FR"/>
        </w:rPr>
        <w:t xml:space="preserve"> la vue du requérant</w:t>
      </w:r>
      <w:r w:rsidR="008C7378" w:rsidRPr="00C2548D">
        <w:rPr>
          <w:lang w:val="fr-FR"/>
        </w:rPr>
        <w:t>,</w:t>
      </w:r>
      <w:r w:rsidR="00B24975" w:rsidRPr="00C2548D">
        <w:rPr>
          <w:lang w:val="fr-FR"/>
        </w:rPr>
        <w:t xml:space="preserve"> l</w:t>
      </w:r>
      <w:r w:rsidR="00C2548D">
        <w:rPr>
          <w:lang w:val="fr-FR"/>
        </w:rPr>
        <w:t>’</w:t>
      </w:r>
      <w:r w:rsidR="00B24975" w:rsidRPr="00C2548D">
        <w:rPr>
          <w:lang w:val="fr-FR"/>
        </w:rPr>
        <w:t>enfant était d</w:t>
      </w:r>
      <w:r w:rsidR="00C2548D">
        <w:rPr>
          <w:lang w:val="fr-FR"/>
        </w:rPr>
        <w:t>’</w:t>
      </w:r>
      <w:r w:rsidR="00B24975" w:rsidRPr="00C2548D">
        <w:rPr>
          <w:lang w:val="fr-FR"/>
        </w:rPr>
        <w:t>abord sortie de la salle</w:t>
      </w:r>
      <w:r w:rsidRPr="00C2548D">
        <w:rPr>
          <w:lang w:val="fr-FR"/>
        </w:rPr>
        <w:t xml:space="preserve"> ; </w:t>
      </w:r>
      <w:r w:rsidR="00B24975" w:rsidRPr="00C2548D">
        <w:rPr>
          <w:lang w:val="fr-FR"/>
        </w:rPr>
        <w:t>ensuite</w:t>
      </w:r>
      <w:r w:rsidRPr="00C2548D">
        <w:rPr>
          <w:lang w:val="fr-FR"/>
        </w:rPr>
        <w:t>,</w:t>
      </w:r>
      <w:r w:rsidR="00B24975" w:rsidRPr="00C2548D">
        <w:rPr>
          <w:lang w:val="fr-FR"/>
        </w:rPr>
        <w:t xml:space="preserve"> elle </w:t>
      </w:r>
      <w:r w:rsidR="00C45146" w:rsidRPr="00C2548D">
        <w:rPr>
          <w:lang w:val="fr-FR"/>
        </w:rPr>
        <w:t>avait</w:t>
      </w:r>
      <w:r w:rsidR="00B24975" w:rsidRPr="00C2548D">
        <w:rPr>
          <w:lang w:val="fr-FR"/>
        </w:rPr>
        <w:t xml:space="preserve"> </w:t>
      </w:r>
      <w:r w:rsidR="00D73835" w:rsidRPr="00C2548D">
        <w:rPr>
          <w:lang w:val="fr-FR"/>
        </w:rPr>
        <w:t>accepté</w:t>
      </w:r>
      <w:r w:rsidR="00B24975" w:rsidRPr="00C2548D">
        <w:rPr>
          <w:lang w:val="fr-FR"/>
        </w:rPr>
        <w:t xml:space="preserve"> la présence du requérant. Le </w:t>
      </w:r>
      <w:r w:rsidR="00C45146" w:rsidRPr="00C2548D">
        <w:rPr>
          <w:lang w:val="fr-FR"/>
        </w:rPr>
        <w:t>psychologue</w:t>
      </w:r>
      <w:r w:rsidR="00B24975" w:rsidRPr="00C2548D">
        <w:rPr>
          <w:lang w:val="fr-FR"/>
        </w:rPr>
        <w:t xml:space="preserve"> avait ensuite rencontr</w:t>
      </w:r>
      <w:r w:rsidR="008C7378" w:rsidRPr="00C2548D">
        <w:rPr>
          <w:lang w:val="fr-FR"/>
        </w:rPr>
        <w:t>é</w:t>
      </w:r>
      <w:r w:rsidR="00B24975" w:rsidRPr="00C2548D">
        <w:rPr>
          <w:lang w:val="fr-FR"/>
        </w:rPr>
        <w:t xml:space="preserve"> l</w:t>
      </w:r>
      <w:r w:rsidR="00C2548D">
        <w:rPr>
          <w:lang w:val="fr-FR"/>
        </w:rPr>
        <w:t>’</w:t>
      </w:r>
      <w:r w:rsidR="00B24975" w:rsidRPr="00C2548D">
        <w:rPr>
          <w:lang w:val="fr-FR"/>
        </w:rPr>
        <w:t>enfant et la famille d</w:t>
      </w:r>
      <w:r w:rsidR="00C2548D">
        <w:rPr>
          <w:lang w:val="fr-FR"/>
        </w:rPr>
        <w:t>’</w:t>
      </w:r>
      <w:r w:rsidR="00B24975" w:rsidRPr="00C2548D">
        <w:rPr>
          <w:lang w:val="fr-FR"/>
        </w:rPr>
        <w:t>accueil</w:t>
      </w:r>
      <w:r w:rsidRPr="00C2548D">
        <w:rPr>
          <w:lang w:val="fr-FR"/>
        </w:rPr>
        <w:t>,</w:t>
      </w:r>
      <w:r w:rsidR="00B24975" w:rsidRPr="00C2548D">
        <w:rPr>
          <w:lang w:val="fr-FR"/>
        </w:rPr>
        <w:t xml:space="preserve"> et avait constaté que l</w:t>
      </w:r>
      <w:r w:rsidR="00C2548D">
        <w:rPr>
          <w:lang w:val="fr-FR"/>
        </w:rPr>
        <w:t>’</w:t>
      </w:r>
      <w:r w:rsidR="00B24975" w:rsidRPr="00C2548D">
        <w:rPr>
          <w:lang w:val="fr-FR"/>
        </w:rPr>
        <w:t>enfant ne voulait plus rencontrer son père biologique. Elle se s</w:t>
      </w:r>
      <w:r w:rsidR="00C45146" w:rsidRPr="00C2548D">
        <w:rPr>
          <w:lang w:val="fr-FR"/>
        </w:rPr>
        <w:t>ouvenait de la traversée en mer</w:t>
      </w:r>
      <w:r w:rsidRPr="00C2548D">
        <w:rPr>
          <w:lang w:val="fr-FR"/>
        </w:rPr>
        <w:t>,</w:t>
      </w:r>
      <w:r w:rsidR="00B24975" w:rsidRPr="00C2548D">
        <w:rPr>
          <w:lang w:val="fr-FR"/>
        </w:rPr>
        <w:t xml:space="preserve"> et de ce que son père n</w:t>
      </w:r>
      <w:r w:rsidR="00C2548D">
        <w:rPr>
          <w:lang w:val="fr-FR"/>
        </w:rPr>
        <w:t>’</w:t>
      </w:r>
      <w:r w:rsidR="00B24975" w:rsidRPr="00C2548D">
        <w:rPr>
          <w:lang w:val="fr-FR"/>
        </w:rPr>
        <w:t>avait pas pris soin d</w:t>
      </w:r>
      <w:r w:rsidR="00C2548D">
        <w:rPr>
          <w:lang w:val="fr-FR"/>
        </w:rPr>
        <w:t>’</w:t>
      </w:r>
      <w:r w:rsidR="00B24975" w:rsidRPr="00C2548D">
        <w:rPr>
          <w:lang w:val="fr-FR"/>
        </w:rPr>
        <w:t>elle.</w:t>
      </w:r>
    </w:p>
    <w:p w:rsidR="00D67316"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21</w:t>
      </w:r>
      <w:r>
        <w:rPr>
          <w:noProof/>
        </w:rPr>
        <w:fldChar w:fldCharType="end"/>
      </w:r>
      <w:r w:rsidR="00D67316" w:rsidRPr="00C2548D">
        <w:rPr>
          <w:lang w:val="fr-FR"/>
        </w:rPr>
        <w:t xml:space="preserve">.  Le 16 janvier 2013, le requérant demanda au </w:t>
      </w:r>
      <w:r w:rsidR="00EE431A" w:rsidRPr="00C2548D">
        <w:rPr>
          <w:lang w:val="fr-FR"/>
        </w:rPr>
        <w:t xml:space="preserve">tribunal </w:t>
      </w:r>
      <w:r w:rsidR="00FF5823" w:rsidRPr="00C2548D">
        <w:rPr>
          <w:lang w:val="fr-FR"/>
        </w:rPr>
        <w:t xml:space="preserve">à </w:t>
      </w:r>
      <w:r w:rsidR="00D67316" w:rsidRPr="00C2548D">
        <w:rPr>
          <w:lang w:val="fr-FR"/>
        </w:rPr>
        <w:t>pouvoir à nouveau rencontrer sa fille.</w:t>
      </w:r>
    </w:p>
    <w:p w:rsidR="003442AD"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22</w:t>
      </w:r>
      <w:r>
        <w:rPr>
          <w:noProof/>
        </w:rPr>
        <w:fldChar w:fldCharType="end"/>
      </w:r>
      <w:r w:rsidR="002D4302" w:rsidRPr="00C2548D">
        <w:rPr>
          <w:lang w:val="fr-FR"/>
        </w:rPr>
        <w:t>.  </w:t>
      </w:r>
      <w:r w:rsidR="00EB0A3F" w:rsidRPr="00C2548D">
        <w:rPr>
          <w:lang w:val="fr-FR"/>
        </w:rPr>
        <w:t xml:space="preserve">Dans un </w:t>
      </w:r>
      <w:r w:rsidR="00B24975" w:rsidRPr="00C2548D">
        <w:rPr>
          <w:lang w:val="fr-FR"/>
        </w:rPr>
        <w:t xml:space="preserve">rapport </w:t>
      </w:r>
      <w:r w:rsidR="00957200" w:rsidRPr="00C2548D">
        <w:rPr>
          <w:lang w:val="fr-FR"/>
        </w:rPr>
        <w:t>déposé</w:t>
      </w:r>
      <w:r w:rsidR="00B24975" w:rsidRPr="00C2548D">
        <w:rPr>
          <w:lang w:val="fr-FR"/>
        </w:rPr>
        <w:t xml:space="preserve"> le 18 </w:t>
      </w:r>
      <w:r w:rsidR="00957200" w:rsidRPr="00C2548D">
        <w:rPr>
          <w:lang w:val="fr-FR"/>
        </w:rPr>
        <w:t>février 2013</w:t>
      </w:r>
      <w:r w:rsidR="00EB0A3F" w:rsidRPr="00C2548D">
        <w:rPr>
          <w:lang w:val="fr-FR"/>
        </w:rPr>
        <w:t>, les services sociaux</w:t>
      </w:r>
      <w:r w:rsidR="008C0402" w:rsidRPr="00C2548D">
        <w:rPr>
          <w:lang w:val="fr-FR"/>
        </w:rPr>
        <w:t xml:space="preserve"> </w:t>
      </w:r>
      <w:r w:rsidR="00EB0A3F" w:rsidRPr="00C2548D">
        <w:rPr>
          <w:lang w:val="fr-FR"/>
        </w:rPr>
        <w:t>indiquèrent</w:t>
      </w:r>
      <w:r w:rsidR="00BF580C" w:rsidRPr="00C2548D">
        <w:rPr>
          <w:lang w:val="fr-FR"/>
        </w:rPr>
        <w:t xml:space="preserve"> avoir été informé</w:t>
      </w:r>
      <w:r w:rsidR="00EB0A3F" w:rsidRPr="00C2548D">
        <w:rPr>
          <w:lang w:val="fr-FR"/>
        </w:rPr>
        <w:t>s</w:t>
      </w:r>
      <w:r w:rsidR="00BF580C" w:rsidRPr="00C2548D">
        <w:rPr>
          <w:lang w:val="fr-FR"/>
        </w:rPr>
        <w:t xml:space="preserve"> par la famille d</w:t>
      </w:r>
      <w:r>
        <w:rPr>
          <w:lang w:val="fr-FR"/>
        </w:rPr>
        <w:t>’</w:t>
      </w:r>
      <w:r w:rsidR="00BF580C" w:rsidRPr="00C2548D">
        <w:rPr>
          <w:lang w:val="fr-FR"/>
        </w:rPr>
        <w:t>accueil :</w:t>
      </w:r>
    </w:p>
    <w:p w:rsidR="00BF580C" w:rsidRPr="00C2548D" w:rsidRDefault="00BF580C" w:rsidP="00D67316">
      <w:pPr>
        <w:pStyle w:val="ECHRPara"/>
        <w:rPr>
          <w:lang w:val="fr-FR"/>
        </w:rPr>
      </w:pPr>
      <w:r w:rsidRPr="00C2548D">
        <w:rPr>
          <w:lang w:val="fr-FR"/>
        </w:rPr>
        <w:t>–</w:t>
      </w:r>
      <w:r w:rsidR="0010556A" w:rsidRPr="00C2548D">
        <w:rPr>
          <w:lang w:val="fr-FR"/>
        </w:rPr>
        <w:t>  </w:t>
      </w:r>
      <w:r w:rsidRPr="00C2548D">
        <w:rPr>
          <w:lang w:val="fr-FR"/>
        </w:rPr>
        <w:t>qu</w:t>
      </w:r>
      <w:r w:rsidR="00C2548D">
        <w:rPr>
          <w:lang w:val="fr-FR"/>
        </w:rPr>
        <w:t>’</w:t>
      </w:r>
      <w:r w:rsidRPr="00C2548D">
        <w:rPr>
          <w:lang w:val="fr-FR"/>
        </w:rPr>
        <w:t>à</w:t>
      </w:r>
      <w:r w:rsidR="008C0402" w:rsidRPr="00C2548D">
        <w:rPr>
          <w:lang w:val="fr-FR"/>
        </w:rPr>
        <w:t xml:space="preserve"> </w:t>
      </w:r>
      <w:r w:rsidR="006767B6" w:rsidRPr="00C2548D">
        <w:rPr>
          <w:lang w:val="fr-FR"/>
        </w:rPr>
        <w:t>la suite de</w:t>
      </w:r>
      <w:r w:rsidR="00957200" w:rsidRPr="00C2548D">
        <w:rPr>
          <w:lang w:val="fr-FR"/>
        </w:rPr>
        <w:t xml:space="preserve"> la rencontre avec le requérant, </w:t>
      </w:r>
      <w:r w:rsidR="008C0402" w:rsidRPr="00C2548D">
        <w:rPr>
          <w:lang w:val="fr-FR"/>
        </w:rPr>
        <w:t>l</w:t>
      </w:r>
      <w:r w:rsidR="00C2548D">
        <w:rPr>
          <w:lang w:val="fr-FR"/>
        </w:rPr>
        <w:t>’</w:t>
      </w:r>
      <w:r w:rsidR="008C0402" w:rsidRPr="00C2548D">
        <w:rPr>
          <w:lang w:val="fr-FR"/>
        </w:rPr>
        <w:t xml:space="preserve">enfant </w:t>
      </w:r>
      <w:r w:rsidR="00957200" w:rsidRPr="00C2548D">
        <w:rPr>
          <w:lang w:val="fr-FR"/>
        </w:rPr>
        <w:t xml:space="preserve">était </w:t>
      </w:r>
      <w:r w:rsidR="008C0402" w:rsidRPr="00C2548D">
        <w:rPr>
          <w:lang w:val="fr-FR"/>
        </w:rPr>
        <w:t xml:space="preserve">devenue </w:t>
      </w:r>
      <w:r w:rsidR="00957200" w:rsidRPr="00C2548D">
        <w:rPr>
          <w:lang w:val="fr-FR"/>
        </w:rPr>
        <w:t>agitée</w:t>
      </w:r>
      <w:r w:rsidRPr="00C2548D">
        <w:rPr>
          <w:lang w:val="fr-FR"/>
        </w:rPr>
        <w:t xml:space="preserve">, et </w:t>
      </w:r>
      <w:r w:rsidR="00957200" w:rsidRPr="00C2548D">
        <w:rPr>
          <w:lang w:val="fr-FR"/>
        </w:rPr>
        <w:t xml:space="preserve">avait eu des épisodes </w:t>
      </w:r>
      <w:r w:rsidR="009B2E37" w:rsidRPr="00C2548D">
        <w:rPr>
          <w:lang w:val="fr-FR"/>
        </w:rPr>
        <w:t>d</w:t>
      </w:r>
      <w:r w:rsidR="00C2548D">
        <w:rPr>
          <w:lang w:val="fr-FR"/>
        </w:rPr>
        <w:t>’</w:t>
      </w:r>
      <w:r w:rsidR="009B2E37" w:rsidRPr="00C2548D">
        <w:rPr>
          <w:lang w:val="fr-FR"/>
        </w:rPr>
        <w:t>énurésie nocturne</w:t>
      </w:r>
      <w:r w:rsidRPr="00C2548D">
        <w:rPr>
          <w:lang w:val="fr-FR"/>
        </w:rPr>
        <w:t> ;</w:t>
      </w:r>
    </w:p>
    <w:p w:rsidR="008C0402" w:rsidRPr="00C2548D" w:rsidRDefault="00BF580C" w:rsidP="00D67316">
      <w:pPr>
        <w:pStyle w:val="ECHRPara"/>
        <w:rPr>
          <w:lang w:val="fr-FR"/>
        </w:rPr>
      </w:pPr>
      <w:r w:rsidRPr="00C2548D">
        <w:rPr>
          <w:lang w:val="fr-FR"/>
        </w:rPr>
        <w:t>–</w:t>
      </w:r>
      <w:r w:rsidR="0010556A" w:rsidRPr="00C2548D">
        <w:rPr>
          <w:lang w:val="fr-FR"/>
        </w:rPr>
        <w:t>  </w:t>
      </w:r>
      <w:r w:rsidRPr="00C2548D">
        <w:rPr>
          <w:lang w:val="fr-FR"/>
        </w:rPr>
        <w:t>que l</w:t>
      </w:r>
      <w:r w:rsidR="00C2548D">
        <w:rPr>
          <w:lang w:val="fr-FR"/>
        </w:rPr>
        <w:t>’</w:t>
      </w:r>
      <w:r w:rsidR="008C0402" w:rsidRPr="00C2548D">
        <w:rPr>
          <w:lang w:val="fr-FR"/>
        </w:rPr>
        <w:t xml:space="preserve">enfant </w:t>
      </w:r>
      <w:r w:rsidR="00957200" w:rsidRPr="00C2548D">
        <w:rPr>
          <w:lang w:val="fr-FR"/>
        </w:rPr>
        <w:t>affirmait ne pas vouloir rencontrer le requérant.</w:t>
      </w:r>
    </w:p>
    <w:p w:rsidR="003442AD" w:rsidRPr="00C2548D" w:rsidRDefault="00957200" w:rsidP="00D67316">
      <w:pPr>
        <w:pStyle w:val="ECHRPara"/>
        <w:rPr>
          <w:lang w:val="fr-FR"/>
        </w:rPr>
      </w:pPr>
      <w:r w:rsidRPr="00C2548D">
        <w:rPr>
          <w:lang w:val="fr-FR"/>
        </w:rPr>
        <w:t xml:space="preserve">Les services sociaux informèrent </w:t>
      </w:r>
      <w:r w:rsidR="00BF580C" w:rsidRPr="00C2548D">
        <w:rPr>
          <w:lang w:val="fr-FR"/>
        </w:rPr>
        <w:t xml:space="preserve">également </w:t>
      </w:r>
      <w:r w:rsidRPr="00C2548D">
        <w:rPr>
          <w:lang w:val="fr-FR"/>
        </w:rPr>
        <w:t>le tribunal</w:t>
      </w:r>
      <w:r w:rsidR="00BF580C" w:rsidRPr="00C2548D">
        <w:rPr>
          <w:lang w:val="fr-FR"/>
        </w:rPr>
        <w:t> :</w:t>
      </w:r>
    </w:p>
    <w:p w:rsidR="00BF580C" w:rsidRPr="00C2548D" w:rsidRDefault="00BF580C" w:rsidP="00D67316">
      <w:pPr>
        <w:pStyle w:val="ECHRPara"/>
        <w:rPr>
          <w:lang w:val="fr-FR"/>
        </w:rPr>
      </w:pPr>
      <w:r w:rsidRPr="00C2548D">
        <w:rPr>
          <w:lang w:val="fr-FR"/>
        </w:rPr>
        <w:t>–</w:t>
      </w:r>
      <w:r w:rsidR="0010556A" w:rsidRPr="00C2548D">
        <w:rPr>
          <w:lang w:val="fr-FR"/>
        </w:rPr>
        <w:t>  </w:t>
      </w:r>
      <w:r w:rsidR="00957200" w:rsidRPr="00C2548D">
        <w:rPr>
          <w:lang w:val="fr-FR"/>
        </w:rPr>
        <w:t>qu</w:t>
      </w:r>
      <w:r w:rsidR="00EB0A3F" w:rsidRPr="00C2548D">
        <w:rPr>
          <w:lang w:val="fr-FR"/>
        </w:rPr>
        <w:t>e depuis</w:t>
      </w:r>
      <w:r w:rsidR="00957200" w:rsidRPr="00C2548D">
        <w:rPr>
          <w:lang w:val="fr-FR"/>
        </w:rPr>
        <w:t xml:space="preserve"> juillet 2012</w:t>
      </w:r>
      <w:r w:rsidR="00EB0A3F" w:rsidRPr="00C2548D">
        <w:rPr>
          <w:lang w:val="fr-FR"/>
        </w:rPr>
        <w:t>,</w:t>
      </w:r>
      <w:r w:rsidR="00957200" w:rsidRPr="00C2548D">
        <w:rPr>
          <w:lang w:val="fr-FR"/>
        </w:rPr>
        <w:t xml:space="preserve"> </w:t>
      </w:r>
      <w:r w:rsidR="00980CC2" w:rsidRPr="00C2548D">
        <w:rPr>
          <w:lang w:val="fr-FR"/>
        </w:rPr>
        <w:t xml:space="preserve">ils </w:t>
      </w:r>
      <w:r w:rsidR="00957200" w:rsidRPr="00C2548D">
        <w:rPr>
          <w:lang w:val="fr-FR"/>
        </w:rPr>
        <w:t>n</w:t>
      </w:r>
      <w:r w:rsidR="00C2548D">
        <w:rPr>
          <w:lang w:val="fr-FR"/>
        </w:rPr>
        <w:t>’</w:t>
      </w:r>
      <w:r w:rsidR="00957200" w:rsidRPr="00C2548D">
        <w:rPr>
          <w:lang w:val="fr-FR"/>
        </w:rPr>
        <w:t>avaient plus eu de nouvelles du requérant</w:t>
      </w:r>
      <w:r w:rsidRPr="00C2548D">
        <w:rPr>
          <w:lang w:val="fr-FR"/>
        </w:rPr>
        <w:t> ;</w:t>
      </w:r>
    </w:p>
    <w:p w:rsidR="002D4302" w:rsidRPr="00C2548D" w:rsidRDefault="00BF580C" w:rsidP="00D67316">
      <w:pPr>
        <w:pStyle w:val="ECHRPara"/>
        <w:rPr>
          <w:lang w:val="fr-FR"/>
        </w:rPr>
      </w:pPr>
      <w:r w:rsidRPr="00C2548D">
        <w:rPr>
          <w:lang w:val="fr-FR"/>
        </w:rPr>
        <w:t>–</w:t>
      </w:r>
      <w:r w:rsidR="0010556A" w:rsidRPr="00C2548D">
        <w:rPr>
          <w:lang w:val="fr-FR"/>
        </w:rPr>
        <w:t>  </w:t>
      </w:r>
      <w:r w:rsidR="00957200" w:rsidRPr="00C2548D">
        <w:rPr>
          <w:lang w:val="fr-FR"/>
        </w:rPr>
        <w:t xml:space="preserve">que </w:t>
      </w:r>
      <w:r w:rsidR="00FF5823" w:rsidRPr="00C2548D">
        <w:rPr>
          <w:lang w:val="fr-FR"/>
        </w:rPr>
        <w:t>c</w:t>
      </w:r>
      <w:r w:rsidR="00C2548D">
        <w:rPr>
          <w:lang w:val="fr-FR"/>
        </w:rPr>
        <w:t>’</w:t>
      </w:r>
      <w:r w:rsidR="00FF5823" w:rsidRPr="00C2548D">
        <w:rPr>
          <w:lang w:val="fr-FR"/>
        </w:rPr>
        <w:t xml:space="preserve">était </w:t>
      </w:r>
      <w:r w:rsidR="00957200" w:rsidRPr="00C2548D">
        <w:rPr>
          <w:lang w:val="fr-FR"/>
        </w:rPr>
        <w:t>seulement en janvier 2013, par le biais de son avocat</w:t>
      </w:r>
      <w:r w:rsidR="00C45146" w:rsidRPr="00C2548D">
        <w:rPr>
          <w:lang w:val="fr-FR"/>
        </w:rPr>
        <w:t>,</w:t>
      </w:r>
      <w:r w:rsidR="00FF5823" w:rsidRPr="00C2548D">
        <w:rPr>
          <w:lang w:val="fr-FR"/>
        </w:rPr>
        <w:t xml:space="preserve"> </w:t>
      </w:r>
      <w:r w:rsidR="008C0402" w:rsidRPr="00C2548D">
        <w:rPr>
          <w:lang w:val="fr-FR"/>
        </w:rPr>
        <w:t>que celui-ci</w:t>
      </w:r>
      <w:r w:rsidR="00957200" w:rsidRPr="00C2548D">
        <w:rPr>
          <w:lang w:val="fr-FR"/>
        </w:rPr>
        <w:t xml:space="preserve"> av</w:t>
      </w:r>
      <w:r w:rsidR="00DA6DEF" w:rsidRPr="00C2548D">
        <w:rPr>
          <w:lang w:val="fr-FR"/>
        </w:rPr>
        <w:t>ait demandé une autre rencontre avec l</w:t>
      </w:r>
      <w:r w:rsidR="00C2548D">
        <w:rPr>
          <w:lang w:val="fr-FR"/>
        </w:rPr>
        <w:t>’</w:t>
      </w:r>
      <w:r w:rsidR="00DA6DEF" w:rsidRPr="00C2548D">
        <w:rPr>
          <w:lang w:val="fr-FR"/>
        </w:rPr>
        <w:t>enfant.</w:t>
      </w:r>
    </w:p>
    <w:p w:rsidR="006324D5"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23</w:t>
      </w:r>
      <w:r>
        <w:rPr>
          <w:noProof/>
        </w:rPr>
        <w:fldChar w:fldCharType="end"/>
      </w:r>
      <w:r w:rsidR="00D67316" w:rsidRPr="00C2548D">
        <w:rPr>
          <w:lang w:val="fr-FR"/>
        </w:rPr>
        <w:t xml:space="preserve">.  Par un décret déposé au greffe le 26 avril 2013, le tribunal rejeta la demande du requérant et </w:t>
      </w:r>
      <w:r w:rsidR="00BF580C" w:rsidRPr="00C2548D">
        <w:rPr>
          <w:lang w:val="fr-FR"/>
        </w:rPr>
        <w:t xml:space="preserve">révoqua </w:t>
      </w:r>
      <w:r w:rsidR="00D67316" w:rsidRPr="00C2548D">
        <w:rPr>
          <w:lang w:val="fr-FR"/>
        </w:rPr>
        <w:t>le décret précédent quant à l</w:t>
      </w:r>
      <w:r>
        <w:rPr>
          <w:lang w:val="fr-FR"/>
        </w:rPr>
        <w:t>’</w:t>
      </w:r>
      <w:r w:rsidR="00D67316" w:rsidRPr="00C2548D">
        <w:rPr>
          <w:lang w:val="fr-FR"/>
        </w:rPr>
        <w:t>organisation d</w:t>
      </w:r>
      <w:r w:rsidR="00980CC2" w:rsidRPr="00C2548D">
        <w:rPr>
          <w:lang w:val="fr-FR"/>
        </w:rPr>
        <w:t>es rencontres.</w:t>
      </w:r>
    </w:p>
    <w:p w:rsidR="00BF580C" w:rsidRPr="00C2548D" w:rsidRDefault="006324D5" w:rsidP="00D67316">
      <w:pPr>
        <w:pStyle w:val="ECHRPara"/>
        <w:rPr>
          <w:lang w:val="fr-FR"/>
        </w:rPr>
      </w:pPr>
      <w:r w:rsidRPr="00C2548D">
        <w:rPr>
          <w:lang w:val="fr-FR"/>
        </w:rPr>
        <w:t>Dans ses motifs, le tribunal releva que d</w:t>
      </w:r>
      <w:r w:rsidR="00C2548D">
        <w:rPr>
          <w:lang w:val="fr-FR"/>
        </w:rPr>
        <w:t>’</w:t>
      </w:r>
      <w:r w:rsidRPr="00C2548D">
        <w:rPr>
          <w:lang w:val="fr-FR"/>
        </w:rPr>
        <w:t>après les</w:t>
      </w:r>
      <w:r w:rsidR="00D67316" w:rsidRPr="00C2548D">
        <w:rPr>
          <w:lang w:val="fr-FR"/>
        </w:rPr>
        <w:t xml:space="preserve"> informations reçues par les services sociaux</w:t>
      </w:r>
      <w:r w:rsidRPr="00C2548D">
        <w:rPr>
          <w:lang w:val="fr-FR"/>
        </w:rPr>
        <w:t>,</w:t>
      </w:r>
      <w:r w:rsidR="00D67316" w:rsidRPr="00C2548D">
        <w:rPr>
          <w:lang w:val="fr-FR"/>
        </w:rPr>
        <w:t xml:space="preserve"> après le déroulement de la rencontre l</w:t>
      </w:r>
      <w:r w:rsidR="00C2548D">
        <w:rPr>
          <w:lang w:val="fr-FR"/>
        </w:rPr>
        <w:t>’</w:t>
      </w:r>
      <w:r w:rsidR="00D67316" w:rsidRPr="00C2548D">
        <w:rPr>
          <w:lang w:val="fr-FR"/>
        </w:rPr>
        <w:t>enfant était très agitée et stressée à l</w:t>
      </w:r>
      <w:r w:rsidR="00C2548D">
        <w:rPr>
          <w:lang w:val="fr-FR"/>
        </w:rPr>
        <w:t>’</w:t>
      </w:r>
      <w:r w:rsidR="00D67316" w:rsidRPr="00C2548D">
        <w:rPr>
          <w:lang w:val="fr-FR"/>
        </w:rPr>
        <w:t>idée de revoir son père</w:t>
      </w:r>
      <w:r w:rsidRPr="00C2548D">
        <w:rPr>
          <w:lang w:val="fr-FR"/>
        </w:rPr>
        <w:t xml:space="preserve">. </w:t>
      </w:r>
      <w:r w:rsidR="000900D5" w:rsidRPr="00C2548D">
        <w:rPr>
          <w:lang w:val="fr-FR"/>
        </w:rPr>
        <w:t xml:space="preserve">Pour justifier </w:t>
      </w:r>
      <w:r w:rsidRPr="00C2548D">
        <w:rPr>
          <w:lang w:val="fr-FR"/>
        </w:rPr>
        <w:t>sa décision, le tribunal estima :</w:t>
      </w:r>
    </w:p>
    <w:p w:rsidR="007D5CCA" w:rsidRPr="00C2548D" w:rsidRDefault="00F213A7" w:rsidP="00D67316">
      <w:pPr>
        <w:pStyle w:val="ECHRPara"/>
        <w:rPr>
          <w:lang w:val="fr-FR"/>
        </w:rPr>
      </w:pPr>
      <w:r w:rsidRPr="00C2548D">
        <w:rPr>
          <w:lang w:val="fr-FR"/>
        </w:rPr>
        <w:t>–  </w:t>
      </w:r>
      <w:r w:rsidR="006324D5" w:rsidRPr="00C2548D">
        <w:rPr>
          <w:lang w:val="fr-FR"/>
        </w:rPr>
        <w:t>que</w:t>
      </w:r>
      <w:r w:rsidR="00D67316" w:rsidRPr="00C2548D">
        <w:rPr>
          <w:lang w:val="fr-FR"/>
        </w:rPr>
        <w:t xml:space="preserve"> le requérant était dans l</w:t>
      </w:r>
      <w:r w:rsidR="00C2548D">
        <w:rPr>
          <w:lang w:val="fr-FR"/>
        </w:rPr>
        <w:t>’</w:t>
      </w:r>
      <w:r w:rsidR="00D67316" w:rsidRPr="00C2548D">
        <w:rPr>
          <w:lang w:val="fr-FR"/>
        </w:rPr>
        <w:t>impossibilité de s</w:t>
      </w:r>
      <w:r w:rsidR="00C2548D">
        <w:rPr>
          <w:lang w:val="fr-FR"/>
        </w:rPr>
        <w:t>’</w:t>
      </w:r>
      <w:r w:rsidR="00D67316" w:rsidRPr="00C2548D">
        <w:rPr>
          <w:lang w:val="fr-FR"/>
        </w:rPr>
        <w:t>occuper de son enfant</w:t>
      </w:r>
      <w:r w:rsidR="006324D5" w:rsidRPr="00C2548D">
        <w:rPr>
          <w:lang w:val="fr-FR"/>
        </w:rPr>
        <w:t> ;</w:t>
      </w:r>
    </w:p>
    <w:p w:rsidR="00BF580C" w:rsidRPr="00C2548D" w:rsidRDefault="00F213A7" w:rsidP="00D67316">
      <w:pPr>
        <w:pStyle w:val="ECHRPara"/>
        <w:rPr>
          <w:lang w:val="fr-FR"/>
        </w:rPr>
      </w:pPr>
      <w:r w:rsidRPr="00C2548D">
        <w:rPr>
          <w:lang w:val="fr-FR"/>
        </w:rPr>
        <w:t>–  </w:t>
      </w:r>
      <w:r w:rsidR="006324D5" w:rsidRPr="00C2548D">
        <w:rPr>
          <w:lang w:val="fr-FR"/>
        </w:rPr>
        <w:t xml:space="preserve">que </w:t>
      </w:r>
      <w:r w:rsidR="00D67316" w:rsidRPr="00C2548D">
        <w:rPr>
          <w:lang w:val="fr-FR"/>
        </w:rPr>
        <w:t>le fait qu</w:t>
      </w:r>
      <w:r w:rsidR="00C2548D">
        <w:rPr>
          <w:lang w:val="fr-FR"/>
        </w:rPr>
        <w:t>’</w:t>
      </w:r>
      <w:r w:rsidR="00D67316" w:rsidRPr="00C2548D">
        <w:rPr>
          <w:lang w:val="fr-FR"/>
        </w:rPr>
        <w:t>il n</w:t>
      </w:r>
      <w:r w:rsidR="00C2548D">
        <w:rPr>
          <w:lang w:val="fr-FR"/>
        </w:rPr>
        <w:t>’</w:t>
      </w:r>
      <w:r w:rsidR="00B02C8E" w:rsidRPr="00C2548D">
        <w:rPr>
          <w:lang w:val="fr-FR"/>
        </w:rPr>
        <w:t>avait</w:t>
      </w:r>
      <w:r w:rsidR="00D67316" w:rsidRPr="00C2548D">
        <w:rPr>
          <w:lang w:val="fr-FR"/>
        </w:rPr>
        <w:t xml:space="preserve"> pas de projet pour l</w:t>
      </w:r>
      <w:r w:rsidR="00C2548D">
        <w:rPr>
          <w:lang w:val="fr-FR"/>
        </w:rPr>
        <w:t>’</w:t>
      </w:r>
      <w:r w:rsidR="00D67316" w:rsidRPr="00C2548D">
        <w:rPr>
          <w:lang w:val="fr-FR"/>
        </w:rPr>
        <w:t>avenir rendait les rencontres</w:t>
      </w:r>
      <w:r w:rsidR="000C462B" w:rsidRPr="00C2548D">
        <w:rPr>
          <w:lang w:val="fr-FR"/>
        </w:rPr>
        <w:t xml:space="preserve"> </w:t>
      </w:r>
      <w:r w:rsidR="00D67316" w:rsidRPr="00C2548D">
        <w:rPr>
          <w:lang w:val="fr-FR"/>
        </w:rPr>
        <w:t xml:space="preserve">préjudiciables pour </w:t>
      </w:r>
      <w:r w:rsidR="006324D5" w:rsidRPr="00C2548D">
        <w:rPr>
          <w:lang w:val="fr-FR"/>
        </w:rPr>
        <w:t>l</w:t>
      </w:r>
      <w:r w:rsidR="00C2548D">
        <w:rPr>
          <w:lang w:val="fr-FR"/>
        </w:rPr>
        <w:t>’</w:t>
      </w:r>
      <w:r w:rsidR="006324D5" w:rsidRPr="00C2548D">
        <w:rPr>
          <w:lang w:val="fr-FR"/>
        </w:rPr>
        <w:t>enfant ;</w:t>
      </w:r>
    </w:p>
    <w:p w:rsidR="00D67316" w:rsidRPr="00C2548D" w:rsidRDefault="00F213A7" w:rsidP="006324D5">
      <w:pPr>
        <w:pStyle w:val="ECHRPara"/>
        <w:rPr>
          <w:lang w:val="fr-FR"/>
        </w:rPr>
      </w:pPr>
      <w:r w:rsidRPr="00C2548D">
        <w:rPr>
          <w:lang w:val="fr-FR"/>
        </w:rPr>
        <w:t>–  </w:t>
      </w:r>
      <w:r w:rsidR="006324D5" w:rsidRPr="00C2548D">
        <w:rPr>
          <w:lang w:val="fr-FR"/>
        </w:rPr>
        <w:t>qu</w:t>
      </w:r>
      <w:r w:rsidR="00C2548D">
        <w:rPr>
          <w:lang w:val="fr-FR"/>
        </w:rPr>
        <w:t>’</w:t>
      </w:r>
      <w:r w:rsidR="006324D5" w:rsidRPr="00C2548D">
        <w:rPr>
          <w:lang w:val="fr-FR"/>
        </w:rPr>
        <w:t xml:space="preserve">il </w:t>
      </w:r>
      <w:r w:rsidR="00D67316" w:rsidRPr="00C2548D">
        <w:rPr>
          <w:lang w:val="fr-FR"/>
        </w:rPr>
        <w:t>n</w:t>
      </w:r>
      <w:r w:rsidR="00C2548D">
        <w:rPr>
          <w:lang w:val="fr-FR"/>
        </w:rPr>
        <w:t>’</w:t>
      </w:r>
      <w:r w:rsidR="00D67316" w:rsidRPr="00C2548D">
        <w:rPr>
          <w:lang w:val="fr-FR"/>
        </w:rPr>
        <w:t xml:space="preserve">était </w:t>
      </w:r>
      <w:r w:rsidR="006324D5" w:rsidRPr="00C2548D">
        <w:rPr>
          <w:lang w:val="fr-FR"/>
        </w:rPr>
        <w:t xml:space="preserve">par ailleurs </w:t>
      </w:r>
      <w:r w:rsidR="00D67316" w:rsidRPr="00C2548D">
        <w:rPr>
          <w:lang w:val="fr-FR"/>
        </w:rPr>
        <w:t>pas possible</w:t>
      </w:r>
      <w:r w:rsidR="006324D5" w:rsidRPr="00C2548D">
        <w:rPr>
          <w:lang w:val="fr-FR"/>
        </w:rPr>
        <w:t xml:space="preserve"> </w:t>
      </w:r>
      <w:r w:rsidR="00D67316" w:rsidRPr="00C2548D">
        <w:rPr>
          <w:lang w:val="fr-FR"/>
        </w:rPr>
        <w:t>d</w:t>
      </w:r>
      <w:r w:rsidR="00C2548D">
        <w:rPr>
          <w:lang w:val="fr-FR"/>
        </w:rPr>
        <w:t>’</w:t>
      </w:r>
      <w:r w:rsidR="00D67316" w:rsidRPr="00C2548D">
        <w:rPr>
          <w:lang w:val="fr-FR"/>
        </w:rPr>
        <w:t>envisager pour le requérant une possibilité de récupérer ses compétences parentales.</w:t>
      </w:r>
    </w:p>
    <w:p w:rsidR="006324D5" w:rsidRPr="00C2548D" w:rsidRDefault="00D67316" w:rsidP="00D67316">
      <w:pPr>
        <w:pStyle w:val="ECHRPara"/>
        <w:rPr>
          <w:bCs/>
          <w:lang w:val="fr-FR"/>
        </w:rPr>
      </w:pPr>
      <w:r>
        <w:rPr>
          <w:bCs/>
        </w:rPr>
        <w:fldChar w:fldCharType="begin"/>
      </w:r>
      <w:r w:rsidRPr="00C2548D">
        <w:rPr>
          <w:bCs/>
          <w:lang w:val="fr-FR"/>
        </w:rPr>
        <w:instrText xml:space="preserve"> SEQ level0 \*arabic </w:instrText>
      </w:r>
      <w:r>
        <w:rPr>
          <w:bCs/>
        </w:rPr>
        <w:fldChar w:fldCharType="separate"/>
      </w:r>
      <w:r w:rsidR="00205039" w:rsidRPr="00C2548D">
        <w:rPr>
          <w:bCs/>
          <w:noProof/>
          <w:lang w:val="fr-FR"/>
        </w:rPr>
        <w:t>24</w:t>
      </w:r>
      <w:r>
        <w:rPr>
          <w:bCs/>
        </w:rPr>
        <w:fldChar w:fldCharType="end"/>
      </w:r>
      <w:r w:rsidRPr="00C2548D">
        <w:rPr>
          <w:bCs/>
          <w:lang w:val="fr-FR"/>
        </w:rPr>
        <w:t>.  Le 22 mai 2013, le requérant interjeta appel de cette décision</w:t>
      </w:r>
      <w:r w:rsidR="006324D5" w:rsidRPr="00C2548D">
        <w:rPr>
          <w:bCs/>
          <w:lang w:val="fr-FR"/>
        </w:rPr>
        <w:t>, en demandant</w:t>
      </w:r>
      <w:r w:rsidR="0020043B" w:rsidRPr="00C2548D">
        <w:rPr>
          <w:bCs/>
          <w:lang w:val="fr-FR"/>
        </w:rPr>
        <w:t xml:space="preserve"> parallèlement </w:t>
      </w:r>
      <w:r w:rsidR="006324D5" w:rsidRPr="00C2548D">
        <w:rPr>
          <w:bCs/>
          <w:lang w:val="fr-FR"/>
        </w:rPr>
        <w:t>que son exécution soit suspendue</w:t>
      </w:r>
      <w:r w:rsidRPr="00C2548D">
        <w:rPr>
          <w:bCs/>
          <w:lang w:val="fr-FR"/>
        </w:rPr>
        <w:t xml:space="preserve">. Il </w:t>
      </w:r>
      <w:r w:rsidR="006324D5" w:rsidRPr="00C2548D">
        <w:rPr>
          <w:bCs/>
          <w:lang w:val="fr-FR"/>
        </w:rPr>
        <w:t>soutenait :</w:t>
      </w:r>
    </w:p>
    <w:p w:rsidR="006324D5" w:rsidRPr="00C2548D" w:rsidRDefault="006324D5" w:rsidP="00D67316">
      <w:pPr>
        <w:pStyle w:val="ECHRPara"/>
        <w:rPr>
          <w:bCs/>
          <w:lang w:val="fr-FR"/>
        </w:rPr>
      </w:pPr>
      <w:r w:rsidRPr="00C2548D">
        <w:rPr>
          <w:bCs/>
          <w:lang w:val="fr-FR"/>
        </w:rPr>
        <w:t>–</w:t>
      </w:r>
      <w:r w:rsidR="0010556A" w:rsidRPr="00C2548D">
        <w:rPr>
          <w:lang w:val="fr-FR"/>
        </w:rPr>
        <w:t>  </w:t>
      </w:r>
      <w:r w:rsidR="00D67316" w:rsidRPr="00C2548D">
        <w:rPr>
          <w:bCs/>
          <w:lang w:val="fr-FR"/>
        </w:rPr>
        <w:t>que la suspension de son droit de visite aurait des conséquences irréparables, car l</w:t>
      </w:r>
      <w:r w:rsidR="00C2548D">
        <w:rPr>
          <w:bCs/>
          <w:lang w:val="fr-FR"/>
        </w:rPr>
        <w:t>’</w:t>
      </w:r>
      <w:r w:rsidR="00D67316" w:rsidRPr="00C2548D">
        <w:rPr>
          <w:bCs/>
          <w:lang w:val="fr-FR"/>
        </w:rPr>
        <w:t>interruption de tout contact entraînerait la coupure du lien entre lui et sa fille</w:t>
      </w:r>
      <w:r w:rsidRPr="00C2548D">
        <w:rPr>
          <w:bCs/>
          <w:lang w:val="fr-FR"/>
        </w:rPr>
        <w:t> ;</w:t>
      </w:r>
    </w:p>
    <w:p w:rsidR="00D67316" w:rsidRPr="00C2548D" w:rsidRDefault="006324D5" w:rsidP="00D67316">
      <w:pPr>
        <w:pStyle w:val="ECHRPara"/>
        <w:rPr>
          <w:lang w:val="fr-FR"/>
        </w:rPr>
      </w:pPr>
      <w:r w:rsidRPr="00C2548D">
        <w:rPr>
          <w:bCs/>
          <w:lang w:val="fr-FR"/>
        </w:rPr>
        <w:t>–</w:t>
      </w:r>
      <w:r w:rsidR="0010556A" w:rsidRPr="00C2548D">
        <w:rPr>
          <w:lang w:val="fr-FR"/>
        </w:rPr>
        <w:t>  </w:t>
      </w:r>
      <w:r w:rsidR="00D67316" w:rsidRPr="00C2548D">
        <w:rPr>
          <w:bCs/>
          <w:lang w:val="fr-FR"/>
        </w:rPr>
        <w:t>qu</w:t>
      </w:r>
      <w:r w:rsidR="00C2548D">
        <w:rPr>
          <w:bCs/>
          <w:lang w:val="fr-FR"/>
        </w:rPr>
        <w:t>’</w:t>
      </w:r>
      <w:r w:rsidR="00D67316" w:rsidRPr="00C2548D">
        <w:rPr>
          <w:bCs/>
          <w:lang w:val="fr-FR"/>
        </w:rPr>
        <w:t>il n</w:t>
      </w:r>
      <w:r w:rsidR="00C2548D">
        <w:rPr>
          <w:bCs/>
          <w:lang w:val="fr-FR"/>
        </w:rPr>
        <w:t>’</w:t>
      </w:r>
      <w:r w:rsidR="00D67316" w:rsidRPr="00C2548D">
        <w:rPr>
          <w:bCs/>
          <w:lang w:val="fr-FR"/>
        </w:rPr>
        <w:t>y avait aucune situation d</w:t>
      </w:r>
      <w:r w:rsidR="00C2548D">
        <w:rPr>
          <w:bCs/>
          <w:lang w:val="fr-FR"/>
        </w:rPr>
        <w:t>’</w:t>
      </w:r>
      <w:r w:rsidR="00D67316" w:rsidRPr="00C2548D">
        <w:rPr>
          <w:bCs/>
          <w:lang w:val="fr-FR"/>
        </w:rPr>
        <w:t>abandon de l</w:t>
      </w:r>
      <w:r w:rsidR="00C2548D">
        <w:rPr>
          <w:bCs/>
          <w:lang w:val="fr-FR"/>
        </w:rPr>
        <w:t>’</w:t>
      </w:r>
      <w:r w:rsidR="00D67316" w:rsidRPr="00C2548D">
        <w:rPr>
          <w:bCs/>
          <w:lang w:val="fr-FR"/>
        </w:rPr>
        <w:t>enfant de sa part, mais seulement une situation de détresse, causée par la pauvreté qui l</w:t>
      </w:r>
      <w:r w:rsidR="00C2548D">
        <w:rPr>
          <w:bCs/>
          <w:lang w:val="fr-FR"/>
        </w:rPr>
        <w:t>’</w:t>
      </w:r>
      <w:r w:rsidR="00D67316" w:rsidRPr="00C2548D">
        <w:rPr>
          <w:bCs/>
          <w:lang w:val="fr-FR"/>
        </w:rPr>
        <w:t>empêchait d</w:t>
      </w:r>
      <w:r w:rsidR="00C2548D">
        <w:rPr>
          <w:bCs/>
          <w:lang w:val="fr-FR"/>
        </w:rPr>
        <w:t>’</w:t>
      </w:r>
      <w:r w:rsidR="00D67316" w:rsidRPr="00C2548D">
        <w:rPr>
          <w:bCs/>
          <w:lang w:val="fr-FR"/>
        </w:rPr>
        <w:t>exercer son rôle de parent.</w:t>
      </w:r>
    </w:p>
    <w:p w:rsidR="000C462B"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25</w:t>
      </w:r>
      <w:r>
        <w:rPr>
          <w:noProof/>
        </w:rPr>
        <w:fldChar w:fldCharType="end"/>
      </w:r>
      <w:r w:rsidR="00D67316" w:rsidRPr="00C2548D">
        <w:rPr>
          <w:lang w:val="fr-FR"/>
        </w:rPr>
        <w:t xml:space="preserve">.  Par </w:t>
      </w:r>
      <w:r w:rsidR="00A50EB6" w:rsidRPr="00C2548D">
        <w:rPr>
          <w:lang w:val="fr-FR"/>
        </w:rPr>
        <w:t>une décision</w:t>
      </w:r>
      <w:r w:rsidR="00D67316" w:rsidRPr="00C2548D">
        <w:rPr>
          <w:lang w:val="fr-FR"/>
        </w:rPr>
        <w:t xml:space="preserve"> du 2 août 2013</w:t>
      </w:r>
      <w:r w:rsidR="004C3901" w:rsidRPr="00C2548D">
        <w:rPr>
          <w:lang w:val="fr-FR"/>
        </w:rPr>
        <w:t>,</w:t>
      </w:r>
      <w:r w:rsidR="00D67316" w:rsidRPr="00C2548D">
        <w:rPr>
          <w:lang w:val="fr-FR"/>
        </w:rPr>
        <w:t xml:space="preserve"> la cour d</w:t>
      </w:r>
      <w:r>
        <w:rPr>
          <w:lang w:val="fr-FR"/>
        </w:rPr>
        <w:t>’</w:t>
      </w:r>
      <w:r w:rsidR="00D67316" w:rsidRPr="00C2548D">
        <w:rPr>
          <w:lang w:val="fr-FR"/>
        </w:rPr>
        <w:t xml:space="preserve">appel de Lecce rejeta </w:t>
      </w:r>
      <w:r w:rsidR="000900D5" w:rsidRPr="00C2548D">
        <w:rPr>
          <w:lang w:val="fr-FR"/>
        </w:rPr>
        <w:t>tout d</w:t>
      </w:r>
      <w:r>
        <w:rPr>
          <w:lang w:val="fr-FR"/>
        </w:rPr>
        <w:t>’</w:t>
      </w:r>
      <w:r w:rsidR="000900D5" w:rsidRPr="00C2548D">
        <w:rPr>
          <w:lang w:val="fr-FR"/>
        </w:rPr>
        <w:t>abord la</w:t>
      </w:r>
      <w:r w:rsidR="006324D5" w:rsidRPr="00C2548D">
        <w:rPr>
          <w:lang w:val="fr-FR"/>
        </w:rPr>
        <w:t xml:space="preserve"> demande de suspension de</w:t>
      </w:r>
      <w:r w:rsidR="00D67316" w:rsidRPr="00C2548D">
        <w:rPr>
          <w:lang w:val="fr-FR"/>
        </w:rPr>
        <w:t xml:space="preserve"> l</w:t>
      </w:r>
      <w:r>
        <w:rPr>
          <w:lang w:val="fr-FR"/>
        </w:rPr>
        <w:t>’</w:t>
      </w:r>
      <w:r w:rsidR="00D67316" w:rsidRPr="00C2548D">
        <w:rPr>
          <w:lang w:val="fr-FR"/>
        </w:rPr>
        <w:t>exécution du décret du tribunal.</w:t>
      </w:r>
    </w:p>
    <w:p w:rsidR="00C47B6F"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26</w:t>
      </w:r>
      <w:r>
        <w:rPr>
          <w:noProof/>
        </w:rPr>
        <w:fldChar w:fldCharType="end"/>
      </w:r>
      <w:r w:rsidR="00D67316" w:rsidRPr="00C2548D">
        <w:rPr>
          <w:lang w:val="fr-FR"/>
        </w:rPr>
        <w:t>.  </w:t>
      </w:r>
      <w:r w:rsidR="00C47B6F" w:rsidRPr="00C2548D">
        <w:rPr>
          <w:lang w:val="fr-FR"/>
        </w:rPr>
        <w:t xml:space="preserve">Dans ses motifs, la </w:t>
      </w:r>
      <w:r w:rsidR="00D67316" w:rsidRPr="00C2548D">
        <w:rPr>
          <w:lang w:val="fr-FR"/>
        </w:rPr>
        <w:t>cour d</w:t>
      </w:r>
      <w:r>
        <w:rPr>
          <w:lang w:val="fr-FR"/>
        </w:rPr>
        <w:t>’</w:t>
      </w:r>
      <w:r w:rsidR="00D67316" w:rsidRPr="00C2548D">
        <w:rPr>
          <w:lang w:val="fr-FR"/>
        </w:rPr>
        <w:t>appel observa</w:t>
      </w:r>
      <w:r w:rsidR="00C47B6F" w:rsidRPr="00C2548D">
        <w:rPr>
          <w:lang w:val="fr-FR"/>
        </w:rPr>
        <w:t xml:space="preserve"> </w:t>
      </w:r>
      <w:r w:rsidR="00D67316" w:rsidRPr="00C2548D">
        <w:rPr>
          <w:lang w:val="fr-FR"/>
        </w:rPr>
        <w:t>que la décision de suspendre les rencontres était motivée par le rapport des servi</w:t>
      </w:r>
      <w:r w:rsidR="00980CC2" w:rsidRPr="00C2548D">
        <w:rPr>
          <w:lang w:val="fr-FR"/>
        </w:rPr>
        <w:t>ces sociaux qui avaient assisté</w:t>
      </w:r>
      <w:r w:rsidR="00D67316" w:rsidRPr="00C2548D">
        <w:rPr>
          <w:lang w:val="fr-FR"/>
        </w:rPr>
        <w:t xml:space="preserve"> à la renco</w:t>
      </w:r>
      <w:r w:rsidR="00980CC2" w:rsidRPr="00C2548D">
        <w:rPr>
          <w:lang w:val="fr-FR"/>
        </w:rPr>
        <w:t xml:space="preserve">ntre, </w:t>
      </w:r>
      <w:r w:rsidR="00C47B6F" w:rsidRPr="00C2548D">
        <w:rPr>
          <w:lang w:val="fr-FR"/>
        </w:rPr>
        <w:t>rapport dont il ressortait</w:t>
      </w:r>
      <w:r w:rsidR="004C05D5" w:rsidRPr="00C2548D">
        <w:rPr>
          <w:lang w:val="fr-FR"/>
        </w:rPr>
        <w:t xml:space="preserve"> selon elle</w:t>
      </w:r>
      <w:r w:rsidR="00C47B6F" w:rsidRPr="00C2548D">
        <w:rPr>
          <w:lang w:val="fr-FR"/>
        </w:rPr>
        <w:t> :</w:t>
      </w:r>
    </w:p>
    <w:p w:rsidR="00C47B6F" w:rsidRPr="00C2548D" w:rsidRDefault="00C47B6F" w:rsidP="00D67316">
      <w:pPr>
        <w:pStyle w:val="ECHRPara"/>
        <w:rPr>
          <w:lang w:val="fr-FR"/>
        </w:rPr>
      </w:pPr>
      <w:r w:rsidRPr="00C2548D">
        <w:rPr>
          <w:lang w:val="fr-FR"/>
        </w:rPr>
        <w:t>–</w:t>
      </w:r>
      <w:r w:rsidR="0010556A" w:rsidRPr="00C2548D">
        <w:rPr>
          <w:lang w:val="fr-FR"/>
        </w:rPr>
        <w:t>  </w:t>
      </w:r>
      <w:r w:rsidR="004C05D5" w:rsidRPr="00C2548D">
        <w:rPr>
          <w:lang w:val="fr-FR"/>
        </w:rPr>
        <w:t xml:space="preserve">que les services sociaux </w:t>
      </w:r>
      <w:r w:rsidRPr="00C2548D">
        <w:rPr>
          <w:lang w:val="fr-FR"/>
        </w:rPr>
        <w:t xml:space="preserve">avaient constaté </w:t>
      </w:r>
      <w:r w:rsidR="00D67316" w:rsidRPr="00C2548D">
        <w:rPr>
          <w:lang w:val="fr-FR"/>
        </w:rPr>
        <w:t>une situation de tension de l</w:t>
      </w:r>
      <w:r w:rsidR="00C2548D">
        <w:rPr>
          <w:lang w:val="fr-FR"/>
        </w:rPr>
        <w:t>’</w:t>
      </w:r>
      <w:r w:rsidR="00D67316" w:rsidRPr="00C2548D">
        <w:rPr>
          <w:lang w:val="fr-FR"/>
        </w:rPr>
        <w:t>enfant envers son père et un stress montré par l</w:t>
      </w:r>
      <w:r w:rsidR="00C2548D">
        <w:rPr>
          <w:lang w:val="fr-FR"/>
        </w:rPr>
        <w:t>’</w:t>
      </w:r>
      <w:r w:rsidR="00D67316" w:rsidRPr="00C2548D">
        <w:rPr>
          <w:lang w:val="fr-FR"/>
        </w:rPr>
        <w:t>enfant à la suite de la rencontre</w:t>
      </w:r>
      <w:r w:rsidRPr="00C2548D">
        <w:rPr>
          <w:lang w:val="fr-FR"/>
        </w:rPr>
        <w:t> ;</w:t>
      </w:r>
    </w:p>
    <w:p w:rsidR="004C05D5" w:rsidRPr="00C2548D" w:rsidRDefault="004C05D5" w:rsidP="00D67316">
      <w:pPr>
        <w:pStyle w:val="ECHRPara"/>
        <w:rPr>
          <w:lang w:val="fr-FR"/>
        </w:rPr>
      </w:pPr>
      <w:r w:rsidRPr="00C2548D">
        <w:rPr>
          <w:lang w:val="fr-FR"/>
        </w:rPr>
        <w:t>–</w:t>
      </w:r>
      <w:r w:rsidR="0010556A" w:rsidRPr="00C2548D">
        <w:rPr>
          <w:lang w:val="fr-FR"/>
        </w:rPr>
        <w:t>  </w:t>
      </w:r>
      <w:r w:rsidRPr="00C2548D">
        <w:rPr>
          <w:lang w:val="fr-FR"/>
        </w:rPr>
        <w:t>que l</w:t>
      </w:r>
      <w:r w:rsidR="00C2548D">
        <w:rPr>
          <w:lang w:val="fr-FR"/>
        </w:rPr>
        <w:t>’</w:t>
      </w:r>
      <w:r w:rsidR="00D67316" w:rsidRPr="00C2548D">
        <w:rPr>
          <w:lang w:val="fr-FR"/>
        </w:rPr>
        <w:t>enfant avait refusé de parler de son père biologique</w:t>
      </w:r>
      <w:r w:rsidRPr="00C2548D">
        <w:rPr>
          <w:lang w:val="fr-FR"/>
        </w:rPr>
        <w:t> ;</w:t>
      </w:r>
    </w:p>
    <w:p w:rsidR="00D67316" w:rsidRPr="00C2548D" w:rsidRDefault="004C05D5" w:rsidP="00D67316">
      <w:pPr>
        <w:pStyle w:val="ECHRPara"/>
        <w:rPr>
          <w:lang w:val="fr-FR"/>
        </w:rPr>
      </w:pPr>
      <w:r w:rsidRPr="00C2548D">
        <w:rPr>
          <w:lang w:val="fr-FR"/>
        </w:rPr>
        <w:t>–</w:t>
      </w:r>
      <w:r w:rsidR="0010556A" w:rsidRPr="00C2548D">
        <w:rPr>
          <w:lang w:val="fr-FR"/>
        </w:rPr>
        <w:t>  </w:t>
      </w:r>
      <w:r w:rsidRPr="00C2548D">
        <w:rPr>
          <w:lang w:val="fr-FR"/>
        </w:rPr>
        <w:t xml:space="preserve">que </w:t>
      </w:r>
      <w:r w:rsidR="00D67316" w:rsidRPr="00C2548D">
        <w:rPr>
          <w:lang w:val="fr-FR"/>
        </w:rPr>
        <w:t>les responsables de l</w:t>
      </w:r>
      <w:r w:rsidR="00C2548D">
        <w:rPr>
          <w:lang w:val="fr-FR"/>
        </w:rPr>
        <w:t>’</w:t>
      </w:r>
      <w:r w:rsidR="00D67316" w:rsidRPr="00C2548D">
        <w:rPr>
          <w:lang w:val="fr-FR"/>
        </w:rPr>
        <w:t xml:space="preserve">association </w:t>
      </w:r>
      <w:r w:rsidR="008E5AFB" w:rsidRPr="00C2548D">
        <w:rPr>
          <w:lang w:val="fr-FR"/>
        </w:rPr>
        <w:t xml:space="preserve">auprès de laquelle </w:t>
      </w:r>
      <w:r w:rsidR="00D67316" w:rsidRPr="00C2548D">
        <w:rPr>
          <w:lang w:val="fr-FR"/>
        </w:rPr>
        <w:t>le requérant et l</w:t>
      </w:r>
      <w:r w:rsidR="00C2548D">
        <w:rPr>
          <w:lang w:val="fr-FR"/>
        </w:rPr>
        <w:t>’</w:t>
      </w:r>
      <w:r w:rsidR="00D67316" w:rsidRPr="00C2548D">
        <w:rPr>
          <w:lang w:val="fr-FR"/>
        </w:rPr>
        <w:t xml:space="preserve">enfant avaient été placés avant son arrestation avaient </w:t>
      </w:r>
      <w:r w:rsidR="008E5AFB" w:rsidRPr="00C2548D">
        <w:rPr>
          <w:lang w:val="fr-FR"/>
        </w:rPr>
        <w:t>fait état</w:t>
      </w:r>
      <w:r w:rsidR="00D67316" w:rsidRPr="00C2548D">
        <w:rPr>
          <w:lang w:val="fr-FR"/>
        </w:rPr>
        <w:t xml:space="preserve"> </w:t>
      </w:r>
      <w:r w:rsidR="00EB0A3F" w:rsidRPr="00C2548D">
        <w:rPr>
          <w:lang w:val="fr-FR"/>
        </w:rPr>
        <w:t>d</w:t>
      </w:r>
      <w:r w:rsidR="00C2548D">
        <w:rPr>
          <w:lang w:val="fr-FR"/>
        </w:rPr>
        <w:t>’</w:t>
      </w:r>
      <w:r w:rsidR="00D67316" w:rsidRPr="00C2548D">
        <w:rPr>
          <w:lang w:val="fr-FR"/>
        </w:rPr>
        <w:t xml:space="preserve">épisodes </w:t>
      </w:r>
      <w:r w:rsidR="008E5AFB" w:rsidRPr="00C2548D">
        <w:rPr>
          <w:lang w:val="fr-FR"/>
        </w:rPr>
        <w:t xml:space="preserve">supposés </w:t>
      </w:r>
      <w:r w:rsidR="00D67316" w:rsidRPr="00C2548D">
        <w:rPr>
          <w:lang w:val="fr-FR"/>
        </w:rPr>
        <w:t>de maltraitance.</w:t>
      </w:r>
    </w:p>
    <w:p w:rsidR="00587B02"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27</w:t>
      </w:r>
      <w:r>
        <w:rPr>
          <w:noProof/>
        </w:rPr>
        <w:fldChar w:fldCharType="end"/>
      </w:r>
      <w:r w:rsidR="00D67316" w:rsidRPr="00C2548D">
        <w:rPr>
          <w:lang w:val="fr-FR"/>
        </w:rPr>
        <w:t>.  </w:t>
      </w:r>
      <w:r w:rsidR="000900D5" w:rsidRPr="00C2548D">
        <w:rPr>
          <w:lang w:val="fr-FR"/>
        </w:rPr>
        <w:t>Toujours à l</w:t>
      </w:r>
      <w:r>
        <w:rPr>
          <w:lang w:val="fr-FR"/>
        </w:rPr>
        <w:t>’</w:t>
      </w:r>
      <w:r w:rsidR="000900D5" w:rsidRPr="00C2548D">
        <w:rPr>
          <w:lang w:val="fr-FR"/>
        </w:rPr>
        <w:t xml:space="preserve">appui du rejet de la demande de suspension du décret, la </w:t>
      </w:r>
      <w:r w:rsidR="00D67316" w:rsidRPr="00C2548D">
        <w:rPr>
          <w:lang w:val="fr-FR"/>
        </w:rPr>
        <w:t xml:space="preserve">cour </w:t>
      </w:r>
      <w:r w:rsidR="000900D5" w:rsidRPr="00C2548D">
        <w:rPr>
          <w:lang w:val="fr-FR"/>
        </w:rPr>
        <w:t>d</w:t>
      </w:r>
      <w:r>
        <w:rPr>
          <w:lang w:val="fr-FR"/>
        </w:rPr>
        <w:t>’</w:t>
      </w:r>
      <w:r w:rsidR="000900D5" w:rsidRPr="00C2548D">
        <w:rPr>
          <w:lang w:val="fr-FR"/>
        </w:rPr>
        <w:t xml:space="preserve">appel </w:t>
      </w:r>
      <w:r w:rsidR="004C3901" w:rsidRPr="00C2548D">
        <w:rPr>
          <w:lang w:val="fr-FR"/>
        </w:rPr>
        <w:t>releva et considéra</w:t>
      </w:r>
      <w:r w:rsidR="00587B02" w:rsidRPr="00C2548D">
        <w:rPr>
          <w:lang w:val="fr-FR"/>
        </w:rPr>
        <w:t xml:space="preserve"> en outre :</w:t>
      </w:r>
    </w:p>
    <w:p w:rsidR="004C3901" w:rsidRPr="00C2548D" w:rsidRDefault="00587B02" w:rsidP="004C3901">
      <w:pPr>
        <w:pStyle w:val="ECHRPara"/>
        <w:rPr>
          <w:lang w:val="fr-FR"/>
        </w:rPr>
      </w:pPr>
      <w:r w:rsidRPr="00C2548D">
        <w:rPr>
          <w:lang w:val="fr-FR"/>
        </w:rPr>
        <w:t>–</w:t>
      </w:r>
      <w:r w:rsidR="0010556A" w:rsidRPr="00C2548D">
        <w:rPr>
          <w:lang w:val="fr-FR"/>
        </w:rPr>
        <w:t>  </w:t>
      </w:r>
      <w:r w:rsidR="00D67316" w:rsidRPr="00C2548D">
        <w:rPr>
          <w:lang w:val="fr-FR"/>
        </w:rPr>
        <w:t>qu</w:t>
      </w:r>
      <w:r w:rsidR="004C3901" w:rsidRPr="00C2548D">
        <w:rPr>
          <w:lang w:val="fr-FR"/>
        </w:rPr>
        <w:t xml:space="preserve">e lors de </w:t>
      </w:r>
      <w:r w:rsidR="00D67316" w:rsidRPr="00C2548D">
        <w:rPr>
          <w:lang w:val="fr-FR"/>
        </w:rPr>
        <w:t>son audition</w:t>
      </w:r>
      <w:r w:rsidR="00980CC2" w:rsidRPr="00C2548D">
        <w:rPr>
          <w:lang w:val="fr-FR"/>
        </w:rPr>
        <w:t>,</w:t>
      </w:r>
      <w:r w:rsidR="00D67316" w:rsidRPr="00C2548D">
        <w:rPr>
          <w:lang w:val="fr-FR"/>
        </w:rPr>
        <w:t xml:space="preserve"> le 21 novembre 2011, </w:t>
      </w:r>
      <w:r w:rsidRPr="00C2548D">
        <w:rPr>
          <w:lang w:val="fr-FR"/>
        </w:rPr>
        <w:t>où il</w:t>
      </w:r>
      <w:r w:rsidR="00D67316" w:rsidRPr="00C2548D">
        <w:rPr>
          <w:lang w:val="fr-FR"/>
        </w:rPr>
        <w:t xml:space="preserve"> avait affirmé que sa fille devait vivre avec lui </w:t>
      </w:r>
      <w:r w:rsidRPr="00C2548D">
        <w:rPr>
          <w:lang w:val="fr-FR"/>
        </w:rPr>
        <w:t>au motif</w:t>
      </w:r>
      <w:r w:rsidR="00D67316" w:rsidRPr="00C2548D">
        <w:rPr>
          <w:lang w:val="fr-FR"/>
        </w:rPr>
        <w:t xml:space="preserve"> qu</w:t>
      </w:r>
      <w:r w:rsidR="00C2548D">
        <w:rPr>
          <w:lang w:val="fr-FR"/>
        </w:rPr>
        <w:t>’</w:t>
      </w:r>
      <w:r w:rsidR="00D67316" w:rsidRPr="00C2548D">
        <w:rPr>
          <w:lang w:val="fr-FR"/>
        </w:rPr>
        <w:t>il était son père et que la famille d</w:t>
      </w:r>
      <w:r w:rsidR="00C2548D">
        <w:rPr>
          <w:lang w:val="fr-FR"/>
        </w:rPr>
        <w:t>’</w:t>
      </w:r>
      <w:r w:rsidR="00D67316" w:rsidRPr="00C2548D">
        <w:rPr>
          <w:lang w:val="fr-FR"/>
        </w:rPr>
        <w:t>accueil n</w:t>
      </w:r>
      <w:r w:rsidR="00C2548D">
        <w:rPr>
          <w:lang w:val="fr-FR"/>
        </w:rPr>
        <w:t>’</w:t>
      </w:r>
      <w:r w:rsidR="00D67316" w:rsidRPr="00C2548D">
        <w:rPr>
          <w:lang w:val="fr-FR"/>
        </w:rPr>
        <w:t>était pas sa vraie famille</w:t>
      </w:r>
      <w:r w:rsidRPr="00C2548D">
        <w:rPr>
          <w:lang w:val="fr-FR"/>
        </w:rPr>
        <w:t xml:space="preserve">, le requérant avait souligné </w:t>
      </w:r>
      <w:r w:rsidR="00D67316" w:rsidRPr="00C2548D">
        <w:rPr>
          <w:lang w:val="fr-FR"/>
        </w:rPr>
        <w:t>qu</w:t>
      </w:r>
      <w:r w:rsidR="00C2548D">
        <w:rPr>
          <w:lang w:val="fr-FR"/>
        </w:rPr>
        <w:t>’</w:t>
      </w:r>
      <w:r w:rsidR="00D67316" w:rsidRPr="00C2548D">
        <w:rPr>
          <w:lang w:val="fr-FR"/>
        </w:rPr>
        <w:t>il n</w:t>
      </w:r>
      <w:r w:rsidR="00C2548D">
        <w:rPr>
          <w:lang w:val="fr-FR"/>
        </w:rPr>
        <w:t>’</w:t>
      </w:r>
      <w:r w:rsidR="00D67316" w:rsidRPr="00C2548D">
        <w:rPr>
          <w:lang w:val="fr-FR"/>
        </w:rPr>
        <w:t>était pas dispo</w:t>
      </w:r>
      <w:r w:rsidRPr="00C2548D">
        <w:rPr>
          <w:lang w:val="fr-FR"/>
        </w:rPr>
        <w:t>sé</w:t>
      </w:r>
      <w:r w:rsidR="00D67316" w:rsidRPr="00C2548D">
        <w:rPr>
          <w:lang w:val="fr-FR"/>
        </w:rPr>
        <w:t xml:space="preserve"> à prendre en considération d</w:t>
      </w:r>
      <w:r w:rsidR="00C2548D">
        <w:rPr>
          <w:lang w:val="fr-FR"/>
        </w:rPr>
        <w:t>’</w:t>
      </w:r>
      <w:r w:rsidR="00D67316" w:rsidRPr="00C2548D">
        <w:rPr>
          <w:lang w:val="fr-FR"/>
        </w:rPr>
        <w:t>autres solutions concernant le placement de sa fille</w:t>
      </w:r>
      <w:r w:rsidR="004C3901" w:rsidRPr="00C2548D">
        <w:rPr>
          <w:lang w:val="fr-FR"/>
        </w:rPr>
        <w:t> ;</w:t>
      </w:r>
    </w:p>
    <w:p w:rsidR="003442AD" w:rsidRPr="00C2548D" w:rsidRDefault="004C3901" w:rsidP="004C3901">
      <w:pPr>
        <w:pStyle w:val="ECHRPara"/>
        <w:rPr>
          <w:lang w:val="fr-FR"/>
        </w:rPr>
      </w:pPr>
      <w:r w:rsidRPr="00C2548D">
        <w:rPr>
          <w:lang w:val="fr-FR"/>
        </w:rPr>
        <w:t>–</w:t>
      </w:r>
      <w:r w:rsidR="0010556A" w:rsidRPr="00C2548D">
        <w:rPr>
          <w:lang w:val="fr-FR"/>
        </w:rPr>
        <w:t>  </w:t>
      </w:r>
      <w:r w:rsidRPr="00C2548D">
        <w:rPr>
          <w:lang w:val="fr-FR"/>
        </w:rPr>
        <w:t xml:space="preserve">que cette attitude montrait </w:t>
      </w:r>
      <w:r w:rsidR="00D67316" w:rsidRPr="00C2548D">
        <w:rPr>
          <w:lang w:val="fr-FR"/>
        </w:rPr>
        <w:t>qu</w:t>
      </w:r>
      <w:r w:rsidR="00C2548D">
        <w:rPr>
          <w:lang w:val="fr-FR"/>
        </w:rPr>
        <w:t>’</w:t>
      </w:r>
      <w:r w:rsidR="00D67316" w:rsidRPr="00C2548D">
        <w:rPr>
          <w:lang w:val="fr-FR"/>
        </w:rPr>
        <w:t>il s</w:t>
      </w:r>
      <w:r w:rsidR="00C2548D">
        <w:rPr>
          <w:lang w:val="fr-FR"/>
        </w:rPr>
        <w:t>’</w:t>
      </w:r>
      <w:r w:rsidR="00D67316" w:rsidRPr="00C2548D">
        <w:rPr>
          <w:lang w:val="fr-FR"/>
        </w:rPr>
        <w:t>intéressait plutôt à la satisfaction de ses besoins qu</w:t>
      </w:r>
      <w:r w:rsidR="00C2548D">
        <w:rPr>
          <w:lang w:val="fr-FR"/>
        </w:rPr>
        <w:t>’</w:t>
      </w:r>
      <w:r w:rsidR="00D67316" w:rsidRPr="00C2548D">
        <w:rPr>
          <w:lang w:val="fr-FR"/>
        </w:rPr>
        <w:t>à ceux de son enfant</w:t>
      </w:r>
      <w:r w:rsidR="0020043B" w:rsidRPr="00C2548D">
        <w:rPr>
          <w:lang w:val="fr-FR"/>
        </w:rPr>
        <w:t> ;</w:t>
      </w:r>
    </w:p>
    <w:p w:rsidR="00587B02" w:rsidRPr="00C2548D" w:rsidRDefault="00587B02" w:rsidP="00D67316">
      <w:pPr>
        <w:pStyle w:val="ECHRPara"/>
        <w:rPr>
          <w:lang w:val="fr-FR"/>
        </w:rPr>
      </w:pPr>
      <w:r w:rsidRPr="00C2548D">
        <w:rPr>
          <w:lang w:val="fr-FR"/>
        </w:rPr>
        <w:t>–</w:t>
      </w:r>
      <w:r w:rsidR="0010556A" w:rsidRPr="00C2548D">
        <w:rPr>
          <w:lang w:val="fr-FR"/>
        </w:rPr>
        <w:t>  </w:t>
      </w:r>
      <w:r w:rsidR="00D67316" w:rsidRPr="00C2548D">
        <w:rPr>
          <w:lang w:val="fr-FR"/>
        </w:rPr>
        <w:t>que A. était bien insérée dans la famille d</w:t>
      </w:r>
      <w:r w:rsidR="00C2548D">
        <w:rPr>
          <w:lang w:val="fr-FR"/>
        </w:rPr>
        <w:t>’</w:t>
      </w:r>
      <w:r w:rsidR="00D67316" w:rsidRPr="00C2548D">
        <w:rPr>
          <w:lang w:val="fr-FR"/>
        </w:rPr>
        <w:t>accueil.</w:t>
      </w:r>
    </w:p>
    <w:p w:rsidR="000900D5"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28</w:t>
      </w:r>
      <w:r>
        <w:rPr>
          <w:noProof/>
        </w:rPr>
        <w:fldChar w:fldCharType="end"/>
      </w:r>
      <w:r w:rsidR="00D67316" w:rsidRPr="00C2548D">
        <w:rPr>
          <w:lang w:val="fr-FR"/>
        </w:rPr>
        <w:t>.  Par un</w:t>
      </w:r>
      <w:r w:rsidR="003B0682" w:rsidRPr="00C2548D">
        <w:rPr>
          <w:lang w:val="fr-FR"/>
        </w:rPr>
        <w:t>e</w:t>
      </w:r>
      <w:r w:rsidR="00D67316" w:rsidRPr="00C2548D">
        <w:rPr>
          <w:lang w:val="fr-FR"/>
        </w:rPr>
        <w:t xml:space="preserve"> autre </w:t>
      </w:r>
      <w:r w:rsidR="003B0682" w:rsidRPr="00C2548D">
        <w:rPr>
          <w:lang w:val="fr-FR"/>
        </w:rPr>
        <w:t xml:space="preserve">décision </w:t>
      </w:r>
      <w:r w:rsidR="00D67316" w:rsidRPr="00C2548D">
        <w:rPr>
          <w:lang w:val="fr-FR"/>
        </w:rPr>
        <w:t>du 11 octobre 2013, la cour d</w:t>
      </w:r>
      <w:r>
        <w:rPr>
          <w:lang w:val="fr-FR"/>
        </w:rPr>
        <w:t>’</w:t>
      </w:r>
      <w:r w:rsidR="00D67316" w:rsidRPr="00C2548D">
        <w:rPr>
          <w:lang w:val="fr-FR"/>
        </w:rPr>
        <w:t xml:space="preserve">appel </w:t>
      </w:r>
      <w:r w:rsidR="000900D5" w:rsidRPr="00C2548D">
        <w:rPr>
          <w:lang w:val="fr-FR"/>
        </w:rPr>
        <w:t>se prononça sur le fond de l</w:t>
      </w:r>
      <w:r>
        <w:rPr>
          <w:lang w:val="fr-FR"/>
        </w:rPr>
        <w:t>’</w:t>
      </w:r>
      <w:r w:rsidR="000900D5" w:rsidRPr="00C2548D">
        <w:rPr>
          <w:lang w:val="fr-FR"/>
        </w:rPr>
        <w:t xml:space="preserve">affaire. Dans ses motifs, elle </w:t>
      </w:r>
      <w:r w:rsidR="00D67316" w:rsidRPr="00C2548D">
        <w:rPr>
          <w:lang w:val="fr-FR"/>
        </w:rPr>
        <w:t xml:space="preserve">réitéra en partie </w:t>
      </w:r>
      <w:r w:rsidR="000900D5" w:rsidRPr="00C2548D">
        <w:rPr>
          <w:lang w:val="fr-FR"/>
        </w:rPr>
        <w:t xml:space="preserve">ses </w:t>
      </w:r>
      <w:r w:rsidR="00D67316" w:rsidRPr="00C2548D">
        <w:rPr>
          <w:lang w:val="fr-FR"/>
        </w:rPr>
        <w:t>précédentes considérations</w:t>
      </w:r>
      <w:r w:rsidR="000900D5" w:rsidRPr="00C2548D">
        <w:rPr>
          <w:lang w:val="fr-FR"/>
        </w:rPr>
        <w:t>,</w:t>
      </w:r>
      <w:r w:rsidR="00D67316" w:rsidRPr="00C2548D">
        <w:rPr>
          <w:lang w:val="fr-FR"/>
        </w:rPr>
        <w:t xml:space="preserve"> en soulignant également</w:t>
      </w:r>
      <w:r w:rsidR="000900D5" w:rsidRPr="00C2548D">
        <w:rPr>
          <w:lang w:val="fr-FR"/>
        </w:rPr>
        <w:t> :</w:t>
      </w:r>
    </w:p>
    <w:p w:rsidR="000900D5" w:rsidRPr="00C2548D" w:rsidRDefault="000900D5" w:rsidP="00D67316">
      <w:pPr>
        <w:pStyle w:val="ECHRPara"/>
        <w:rPr>
          <w:lang w:val="fr-FR"/>
        </w:rPr>
      </w:pPr>
      <w:r w:rsidRPr="00C2548D">
        <w:rPr>
          <w:lang w:val="fr-FR"/>
        </w:rPr>
        <w:t>–</w:t>
      </w:r>
      <w:r w:rsidR="0010556A" w:rsidRPr="00C2548D">
        <w:rPr>
          <w:lang w:val="fr-FR"/>
        </w:rPr>
        <w:t>  </w:t>
      </w:r>
      <w:r w:rsidR="00D67316" w:rsidRPr="00C2548D">
        <w:rPr>
          <w:lang w:val="fr-FR"/>
        </w:rPr>
        <w:t xml:space="preserve">que le requérant </w:t>
      </w:r>
      <w:r w:rsidRPr="00C2548D">
        <w:rPr>
          <w:lang w:val="fr-FR"/>
        </w:rPr>
        <w:t>s</w:t>
      </w:r>
      <w:r w:rsidR="00C2548D">
        <w:rPr>
          <w:lang w:val="fr-FR"/>
        </w:rPr>
        <w:t>’</w:t>
      </w:r>
      <w:r w:rsidRPr="00C2548D">
        <w:rPr>
          <w:lang w:val="fr-FR"/>
        </w:rPr>
        <w:t>était montré</w:t>
      </w:r>
      <w:r w:rsidR="00D67316" w:rsidRPr="00C2548D">
        <w:rPr>
          <w:lang w:val="fr-FR"/>
        </w:rPr>
        <w:t xml:space="preserve"> non</w:t>
      </w:r>
      <w:r w:rsidR="00EB0A3F" w:rsidRPr="00C2548D">
        <w:rPr>
          <w:lang w:val="fr-FR"/>
        </w:rPr>
        <w:t xml:space="preserve"> </w:t>
      </w:r>
      <w:r w:rsidRPr="00C2548D">
        <w:rPr>
          <w:lang w:val="fr-FR"/>
        </w:rPr>
        <w:t xml:space="preserve">coopératif </w:t>
      </w:r>
      <w:r w:rsidR="00D67316" w:rsidRPr="00C2548D">
        <w:rPr>
          <w:lang w:val="fr-FR"/>
        </w:rPr>
        <w:t>avec les services sociaux</w:t>
      </w:r>
      <w:r w:rsidRPr="00C2548D">
        <w:rPr>
          <w:lang w:val="fr-FR"/>
        </w:rPr>
        <w:t> ;</w:t>
      </w:r>
    </w:p>
    <w:p w:rsidR="00D67316" w:rsidRPr="00C2548D" w:rsidRDefault="000900D5" w:rsidP="00D67316">
      <w:pPr>
        <w:pStyle w:val="ECHRPara"/>
        <w:rPr>
          <w:lang w:val="fr-FR"/>
        </w:rPr>
      </w:pPr>
      <w:r w:rsidRPr="00C2548D">
        <w:rPr>
          <w:lang w:val="fr-FR"/>
        </w:rPr>
        <w:t>–</w:t>
      </w:r>
      <w:r w:rsidR="0010556A" w:rsidRPr="00C2548D">
        <w:rPr>
          <w:lang w:val="fr-FR"/>
        </w:rPr>
        <w:t>  </w:t>
      </w:r>
      <w:r w:rsidR="00D67316" w:rsidRPr="00C2548D">
        <w:rPr>
          <w:lang w:val="fr-FR"/>
        </w:rPr>
        <w:t>qu</w:t>
      </w:r>
      <w:r w:rsidR="00C2548D">
        <w:rPr>
          <w:lang w:val="fr-FR"/>
        </w:rPr>
        <w:t>’</w:t>
      </w:r>
      <w:r w:rsidR="006767B6" w:rsidRPr="00C2548D">
        <w:rPr>
          <w:lang w:val="fr-FR"/>
        </w:rPr>
        <w:t>à la suite de</w:t>
      </w:r>
      <w:r w:rsidR="00D67316" w:rsidRPr="00C2548D">
        <w:rPr>
          <w:lang w:val="fr-FR"/>
        </w:rPr>
        <w:t xml:space="preserve"> la rencontre avec son père, A. avait manifesté une régression dans son comportement.</w:t>
      </w:r>
    </w:p>
    <w:p w:rsidR="00E5292C"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29</w:t>
      </w:r>
      <w:r>
        <w:rPr>
          <w:noProof/>
        </w:rPr>
        <w:fldChar w:fldCharType="end"/>
      </w:r>
      <w:r w:rsidR="00D67316" w:rsidRPr="00C2548D">
        <w:rPr>
          <w:lang w:val="fr-FR"/>
        </w:rPr>
        <w:t>.  </w:t>
      </w:r>
      <w:r w:rsidR="00E5292C" w:rsidRPr="00C2548D">
        <w:rPr>
          <w:lang w:val="fr-FR"/>
        </w:rPr>
        <w:t>La</w:t>
      </w:r>
      <w:r w:rsidR="00E32A30" w:rsidRPr="00C2548D">
        <w:rPr>
          <w:lang w:val="fr-FR"/>
        </w:rPr>
        <w:t xml:space="preserve"> c</w:t>
      </w:r>
      <w:r w:rsidR="00D67316" w:rsidRPr="00C2548D">
        <w:rPr>
          <w:lang w:val="fr-FR"/>
        </w:rPr>
        <w:t xml:space="preserve">our </w:t>
      </w:r>
      <w:r w:rsidR="00E5292C" w:rsidRPr="00C2548D">
        <w:rPr>
          <w:lang w:val="fr-FR"/>
        </w:rPr>
        <w:t>considéra en outre :</w:t>
      </w:r>
    </w:p>
    <w:p w:rsidR="00E5292C" w:rsidRPr="00C2548D" w:rsidRDefault="00E5292C" w:rsidP="00D67316">
      <w:pPr>
        <w:pStyle w:val="ECHRPara"/>
        <w:rPr>
          <w:lang w:val="fr-FR"/>
        </w:rPr>
      </w:pPr>
      <w:r w:rsidRPr="00C2548D">
        <w:rPr>
          <w:lang w:val="fr-FR"/>
        </w:rPr>
        <w:t>–</w:t>
      </w:r>
      <w:r w:rsidR="0010556A" w:rsidRPr="00C2548D">
        <w:rPr>
          <w:lang w:val="fr-FR"/>
        </w:rPr>
        <w:t>  </w:t>
      </w:r>
      <w:r w:rsidR="00D67316" w:rsidRPr="00C2548D">
        <w:rPr>
          <w:lang w:val="fr-FR"/>
        </w:rPr>
        <w:t>que le requérant n</w:t>
      </w:r>
      <w:r w:rsidR="00C2548D">
        <w:rPr>
          <w:lang w:val="fr-FR"/>
        </w:rPr>
        <w:t>’</w:t>
      </w:r>
      <w:r w:rsidR="00D67316" w:rsidRPr="00C2548D">
        <w:rPr>
          <w:lang w:val="fr-FR"/>
        </w:rPr>
        <w:t>avait pas la possibilité d</w:t>
      </w:r>
      <w:r w:rsidR="00C2548D">
        <w:rPr>
          <w:lang w:val="fr-FR"/>
        </w:rPr>
        <w:t>’</w:t>
      </w:r>
      <w:r w:rsidR="00D67316" w:rsidRPr="00C2548D">
        <w:rPr>
          <w:lang w:val="fr-FR"/>
        </w:rPr>
        <w:t>assurer à sa fille une vie stable</w:t>
      </w:r>
      <w:r w:rsidRPr="00C2548D">
        <w:rPr>
          <w:lang w:val="fr-FR"/>
        </w:rPr>
        <w:t>, tant</w:t>
      </w:r>
      <w:r w:rsidR="00D67316" w:rsidRPr="00C2548D">
        <w:rPr>
          <w:lang w:val="fr-FR"/>
        </w:rPr>
        <w:t xml:space="preserve"> du point de vue affectif </w:t>
      </w:r>
      <w:r w:rsidRPr="00C2548D">
        <w:rPr>
          <w:lang w:val="fr-FR"/>
        </w:rPr>
        <w:t xml:space="preserve">que </w:t>
      </w:r>
      <w:r w:rsidR="00D67316" w:rsidRPr="00C2548D">
        <w:rPr>
          <w:lang w:val="fr-FR"/>
        </w:rPr>
        <w:t>par manque de moyens financiers</w:t>
      </w:r>
      <w:r w:rsidRPr="00C2548D">
        <w:rPr>
          <w:lang w:val="fr-FR"/>
        </w:rPr>
        <w:t> ;</w:t>
      </w:r>
    </w:p>
    <w:p w:rsidR="00E5292C" w:rsidRPr="00C2548D" w:rsidRDefault="00E5292C" w:rsidP="00D67316">
      <w:pPr>
        <w:pStyle w:val="ECHRPara"/>
        <w:rPr>
          <w:lang w:val="fr-FR"/>
        </w:rPr>
      </w:pPr>
      <w:r w:rsidRPr="00C2548D">
        <w:rPr>
          <w:lang w:val="fr-FR"/>
        </w:rPr>
        <w:t>–</w:t>
      </w:r>
      <w:r w:rsidR="0010556A" w:rsidRPr="00C2548D">
        <w:rPr>
          <w:lang w:val="fr-FR"/>
        </w:rPr>
        <w:t>  </w:t>
      </w:r>
      <w:r w:rsidRPr="00C2548D">
        <w:rPr>
          <w:lang w:val="fr-FR"/>
        </w:rPr>
        <w:t>qu</w:t>
      </w:r>
      <w:r w:rsidR="00C2548D">
        <w:rPr>
          <w:lang w:val="fr-FR"/>
        </w:rPr>
        <w:t>’</w:t>
      </w:r>
      <w:r w:rsidRPr="00C2548D">
        <w:rPr>
          <w:lang w:val="fr-FR"/>
        </w:rPr>
        <w:t>i</w:t>
      </w:r>
      <w:r w:rsidR="00D67316" w:rsidRPr="00C2548D">
        <w:rPr>
          <w:lang w:val="fr-FR"/>
        </w:rPr>
        <w:t>l n</w:t>
      </w:r>
      <w:r w:rsidR="00C2548D">
        <w:rPr>
          <w:lang w:val="fr-FR"/>
        </w:rPr>
        <w:t>’</w:t>
      </w:r>
      <w:r w:rsidR="00D67316" w:rsidRPr="00C2548D">
        <w:rPr>
          <w:lang w:val="fr-FR"/>
        </w:rPr>
        <w:t>avait aucun projet pour l</w:t>
      </w:r>
      <w:r w:rsidR="00C2548D">
        <w:rPr>
          <w:lang w:val="fr-FR"/>
        </w:rPr>
        <w:t>’</w:t>
      </w:r>
      <w:r w:rsidR="00D67316" w:rsidRPr="00C2548D">
        <w:rPr>
          <w:lang w:val="fr-FR"/>
        </w:rPr>
        <w:t>avenir</w:t>
      </w:r>
      <w:r w:rsidRPr="00C2548D">
        <w:rPr>
          <w:lang w:val="fr-FR"/>
        </w:rPr>
        <w:t> ;</w:t>
      </w:r>
    </w:p>
    <w:p w:rsidR="00D67316" w:rsidRPr="00C2548D" w:rsidRDefault="00E5292C" w:rsidP="00D67316">
      <w:pPr>
        <w:pStyle w:val="ECHRPara"/>
        <w:rPr>
          <w:lang w:val="fr-FR"/>
        </w:rPr>
      </w:pPr>
      <w:r w:rsidRPr="00C2548D">
        <w:rPr>
          <w:lang w:val="fr-FR"/>
        </w:rPr>
        <w:t>–</w:t>
      </w:r>
      <w:r w:rsidR="0010556A" w:rsidRPr="00C2548D">
        <w:rPr>
          <w:lang w:val="fr-FR"/>
        </w:rPr>
        <w:t>  </w:t>
      </w:r>
      <w:r w:rsidRPr="00C2548D">
        <w:rPr>
          <w:lang w:val="fr-FR"/>
        </w:rPr>
        <w:t xml:space="preserve">que </w:t>
      </w:r>
      <w:r w:rsidR="00D67316" w:rsidRPr="00C2548D">
        <w:rPr>
          <w:lang w:val="fr-FR"/>
        </w:rPr>
        <w:t>son comportement ne visait pas à garantir à sa fille des conditions de vie adéquates.</w:t>
      </w:r>
    </w:p>
    <w:p w:rsidR="00E5292C"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30</w:t>
      </w:r>
      <w:r>
        <w:rPr>
          <w:noProof/>
        </w:rPr>
        <w:fldChar w:fldCharType="end"/>
      </w:r>
      <w:r w:rsidR="00D67316" w:rsidRPr="00C2548D">
        <w:rPr>
          <w:lang w:val="fr-FR"/>
        </w:rPr>
        <w:t>.  </w:t>
      </w:r>
      <w:r w:rsidR="00E5292C" w:rsidRPr="00C2548D">
        <w:rPr>
          <w:lang w:val="fr-FR"/>
        </w:rPr>
        <w:t>À</w:t>
      </w:r>
      <w:r w:rsidR="00D67316" w:rsidRPr="00C2548D">
        <w:rPr>
          <w:lang w:val="fr-FR"/>
        </w:rPr>
        <w:t xml:space="preserve"> l</w:t>
      </w:r>
      <w:r>
        <w:rPr>
          <w:lang w:val="fr-FR"/>
        </w:rPr>
        <w:t>’</w:t>
      </w:r>
      <w:r w:rsidR="00D67316" w:rsidRPr="00C2548D">
        <w:rPr>
          <w:lang w:val="fr-FR"/>
        </w:rPr>
        <w:t>argument du requérant selon lequel il n</w:t>
      </w:r>
      <w:r>
        <w:rPr>
          <w:lang w:val="fr-FR"/>
        </w:rPr>
        <w:t>’</w:t>
      </w:r>
      <w:r w:rsidR="00D67316" w:rsidRPr="00C2548D">
        <w:rPr>
          <w:lang w:val="fr-FR"/>
        </w:rPr>
        <w:t xml:space="preserve">y avait pas eu </w:t>
      </w:r>
      <w:r w:rsidR="00E5292C" w:rsidRPr="00C2548D">
        <w:rPr>
          <w:lang w:val="fr-FR"/>
        </w:rPr>
        <w:t>d</w:t>
      </w:r>
      <w:r>
        <w:rPr>
          <w:lang w:val="fr-FR"/>
        </w:rPr>
        <w:t>’</w:t>
      </w:r>
      <w:r w:rsidR="00D67316" w:rsidRPr="00C2548D">
        <w:rPr>
          <w:lang w:val="fr-FR"/>
        </w:rPr>
        <w:t xml:space="preserve">enquête avant </w:t>
      </w:r>
      <w:r w:rsidR="00E5292C" w:rsidRPr="00C2548D">
        <w:rPr>
          <w:lang w:val="fr-FR"/>
        </w:rPr>
        <w:t xml:space="preserve">la décision </w:t>
      </w:r>
      <w:r w:rsidR="00D67316" w:rsidRPr="00C2548D">
        <w:rPr>
          <w:lang w:val="fr-FR"/>
        </w:rPr>
        <w:t xml:space="preserve">de suspendre les rencontres, la </w:t>
      </w:r>
      <w:r w:rsidR="00E5292C" w:rsidRPr="00C2548D">
        <w:rPr>
          <w:lang w:val="fr-FR"/>
        </w:rPr>
        <w:t>c</w:t>
      </w:r>
      <w:r w:rsidR="00D67316" w:rsidRPr="00C2548D">
        <w:rPr>
          <w:lang w:val="fr-FR"/>
        </w:rPr>
        <w:t>our répondit</w:t>
      </w:r>
      <w:r w:rsidR="00E5292C" w:rsidRPr="00C2548D">
        <w:rPr>
          <w:lang w:val="fr-FR"/>
        </w:rPr>
        <w:t> :</w:t>
      </w:r>
    </w:p>
    <w:p w:rsidR="00E5292C" w:rsidRPr="00C2548D" w:rsidRDefault="00E5292C" w:rsidP="00D67316">
      <w:pPr>
        <w:pStyle w:val="ECHRPara"/>
        <w:rPr>
          <w:lang w:val="fr-FR"/>
        </w:rPr>
      </w:pPr>
      <w:r w:rsidRPr="00C2548D">
        <w:rPr>
          <w:lang w:val="fr-FR"/>
        </w:rPr>
        <w:t>–</w:t>
      </w:r>
      <w:r w:rsidR="0010556A" w:rsidRPr="00C2548D">
        <w:rPr>
          <w:lang w:val="fr-FR"/>
        </w:rPr>
        <w:t>  </w:t>
      </w:r>
      <w:r w:rsidR="00D67316" w:rsidRPr="00C2548D">
        <w:rPr>
          <w:lang w:val="fr-FR"/>
        </w:rPr>
        <w:t>qu</w:t>
      </w:r>
      <w:r w:rsidR="00C2548D">
        <w:rPr>
          <w:lang w:val="fr-FR"/>
        </w:rPr>
        <w:t>’</w:t>
      </w:r>
      <w:r w:rsidR="00D67316" w:rsidRPr="00C2548D">
        <w:rPr>
          <w:lang w:val="fr-FR"/>
        </w:rPr>
        <w:t xml:space="preserve">un rapport avait été déposé par les services sociaux </w:t>
      </w:r>
      <w:r w:rsidR="006767B6" w:rsidRPr="00C2548D">
        <w:rPr>
          <w:lang w:val="fr-FR"/>
        </w:rPr>
        <w:t>à la suite de</w:t>
      </w:r>
      <w:r w:rsidR="00D67316" w:rsidRPr="00C2548D">
        <w:rPr>
          <w:lang w:val="fr-FR"/>
        </w:rPr>
        <w:t xml:space="preserve"> la rencontre</w:t>
      </w:r>
      <w:r w:rsidRPr="00C2548D">
        <w:rPr>
          <w:lang w:val="fr-FR"/>
        </w:rPr>
        <w:t> ;</w:t>
      </w:r>
    </w:p>
    <w:p w:rsidR="00D67316" w:rsidRPr="00C2548D" w:rsidRDefault="00E5292C" w:rsidP="00D67316">
      <w:pPr>
        <w:pStyle w:val="ECHRPara"/>
        <w:rPr>
          <w:lang w:val="fr-FR"/>
        </w:rPr>
      </w:pPr>
      <w:r w:rsidRPr="00C2548D">
        <w:rPr>
          <w:lang w:val="fr-FR"/>
        </w:rPr>
        <w:t>–</w:t>
      </w:r>
      <w:r w:rsidR="0010556A" w:rsidRPr="00C2548D">
        <w:rPr>
          <w:lang w:val="fr-FR"/>
        </w:rPr>
        <w:t>  </w:t>
      </w:r>
      <w:r w:rsidR="00D67316" w:rsidRPr="00C2548D">
        <w:rPr>
          <w:lang w:val="fr-FR"/>
        </w:rPr>
        <w:t>que le requérant avait</w:t>
      </w:r>
      <w:r w:rsidRPr="00C2548D">
        <w:rPr>
          <w:lang w:val="fr-FR"/>
        </w:rPr>
        <w:t xml:space="preserve"> </w:t>
      </w:r>
      <w:r w:rsidR="00D67316" w:rsidRPr="00C2548D">
        <w:rPr>
          <w:lang w:val="fr-FR"/>
        </w:rPr>
        <w:t>été entendu par le tribunal.</w:t>
      </w:r>
    </w:p>
    <w:p w:rsidR="00E5292C"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31</w:t>
      </w:r>
      <w:r>
        <w:rPr>
          <w:noProof/>
        </w:rPr>
        <w:fldChar w:fldCharType="end"/>
      </w:r>
      <w:r w:rsidR="00277A66" w:rsidRPr="00C2548D">
        <w:rPr>
          <w:lang w:val="fr-FR"/>
        </w:rPr>
        <w:t>.  </w:t>
      </w:r>
      <w:r w:rsidR="00E5292C" w:rsidRPr="00C2548D">
        <w:rPr>
          <w:lang w:val="fr-FR"/>
        </w:rPr>
        <w:t>Quant à</w:t>
      </w:r>
      <w:r w:rsidR="00D67316" w:rsidRPr="00C2548D">
        <w:rPr>
          <w:lang w:val="fr-FR"/>
        </w:rPr>
        <w:t xml:space="preserve"> la possibilité de faire rentrer l</w:t>
      </w:r>
      <w:r>
        <w:rPr>
          <w:lang w:val="fr-FR"/>
        </w:rPr>
        <w:t>’</w:t>
      </w:r>
      <w:r w:rsidR="00D67316" w:rsidRPr="00C2548D">
        <w:rPr>
          <w:lang w:val="fr-FR"/>
        </w:rPr>
        <w:t xml:space="preserve">enfant au Nigéria, </w:t>
      </w:r>
      <w:r w:rsidR="00E5292C" w:rsidRPr="00C2548D">
        <w:rPr>
          <w:lang w:val="fr-FR"/>
        </w:rPr>
        <w:t>la cour l</w:t>
      </w:r>
      <w:r>
        <w:rPr>
          <w:lang w:val="fr-FR"/>
        </w:rPr>
        <w:t>’</w:t>
      </w:r>
      <w:r w:rsidR="00E5292C" w:rsidRPr="00C2548D">
        <w:rPr>
          <w:lang w:val="fr-FR"/>
        </w:rPr>
        <w:t>écarta</w:t>
      </w:r>
      <w:r w:rsidR="0034799D" w:rsidRPr="00C2548D">
        <w:rPr>
          <w:lang w:val="fr-FR"/>
        </w:rPr>
        <w:t xml:space="preserve">, </w:t>
      </w:r>
      <w:r w:rsidR="00D67316" w:rsidRPr="00C2548D">
        <w:rPr>
          <w:lang w:val="fr-FR"/>
        </w:rPr>
        <w:t>considérant qu</w:t>
      </w:r>
      <w:r w:rsidR="00E5292C" w:rsidRPr="00C2548D">
        <w:rPr>
          <w:lang w:val="fr-FR"/>
        </w:rPr>
        <w:t xml:space="preserve">e A. </w:t>
      </w:r>
      <w:r w:rsidR="00D67316" w:rsidRPr="00C2548D">
        <w:rPr>
          <w:lang w:val="fr-FR"/>
        </w:rPr>
        <w:t>n</w:t>
      </w:r>
      <w:r>
        <w:rPr>
          <w:lang w:val="fr-FR"/>
        </w:rPr>
        <w:t>’</w:t>
      </w:r>
      <w:r w:rsidR="00D67316" w:rsidRPr="00C2548D">
        <w:rPr>
          <w:lang w:val="fr-FR"/>
        </w:rPr>
        <w:t>avait presque aucun souvenir de sa mère et de sa sœur.</w:t>
      </w:r>
    </w:p>
    <w:p w:rsidR="00D67316" w:rsidRPr="00C2548D" w:rsidRDefault="00E5292C" w:rsidP="00D67316">
      <w:pPr>
        <w:pStyle w:val="ECHRPara"/>
        <w:rPr>
          <w:lang w:val="fr-FR"/>
        </w:rPr>
      </w:pPr>
      <w:r w:rsidRPr="00C2548D">
        <w:rPr>
          <w:lang w:val="fr-FR"/>
        </w:rPr>
        <w:t>En conclusion</w:t>
      </w:r>
      <w:r w:rsidR="00D67316" w:rsidRPr="00C2548D">
        <w:rPr>
          <w:lang w:val="fr-FR"/>
        </w:rPr>
        <w:t xml:space="preserve">, </w:t>
      </w:r>
      <w:r w:rsidRPr="00C2548D">
        <w:rPr>
          <w:lang w:val="fr-FR"/>
        </w:rPr>
        <w:t>pour la cour d</w:t>
      </w:r>
      <w:r w:rsidR="00C2548D">
        <w:rPr>
          <w:lang w:val="fr-FR"/>
        </w:rPr>
        <w:t>’</w:t>
      </w:r>
      <w:r w:rsidRPr="00C2548D">
        <w:rPr>
          <w:lang w:val="fr-FR"/>
        </w:rPr>
        <w:t xml:space="preserve">appel, </w:t>
      </w:r>
      <w:r w:rsidR="00D67316" w:rsidRPr="00C2548D">
        <w:rPr>
          <w:lang w:val="fr-FR"/>
        </w:rPr>
        <w:t>la décision de suspendre les rencontres était la seule à prendre dans l</w:t>
      </w:r>
      <w:r w:rsidR="00C2548D">
        <w:rPr>
          <w:lang w:val="fr-FR"/>
        </w:rPr>
        <w:t>’</w:t>
      </w:r>
      <w:r w:rsidR="00D67316" w:rsidRPr="00C2548D">
        <w:rPr>
          <w:lang w:val="fr-FR"/>
        </w:rPr>
        <w:t>intérêt de la mineure. Par conséquent</w:t>
      </w:r>
      <w:r w:rsidR="00980CC2" w:rsidRPr="00C2548D">
        <w:rPr>
          <w:lang w:val="fr-FR"/>
        </w:rPr>
        <w:t>,</w:t>
      </w:r>
      <w:r w:rsidR="00D67316" w:rsidRPr="00C2548D">
        <w:rPr>
          <w:lang w:val="fr-FR"/>
        </w:rPr>
        <w:t xml:space="preserve"> </w:t>
      </w:r>
      <w:r w:rsidRPr="00C2548D">
        <w:rPr>
          <w:lang w:val="fr-FR"/>
        </w:rPr>
        <w:t xml:space="preserve">elle </w:t>
      </w:r>
      <w:r w:rsidR="00D67316" w:rsidRPr="00C2548D">
        <w:rPr>
          <w:lang w:val="fr-FR"/>
        </w:rPr>
        <w:t xml:space="preserve">confirma </w:t>
      </w:r>
      <w:r w:rsidR="00E22702" w:rsidRPr="00C2548D">
        <w:rPr>
          <w:lang w:val="fr-FR"/>
        </w:rPr>
        <w:t>la décision</w:t>
      </w:r>
      <w:r w:rsidR="00D67316" w:rsidRPr="00C2548D">
        <w:rPr>
          <w:lang w:val="fr-FR"/>
        </w:rPr>
        <w:t xml:space="preserve"> du </w:t>
      </w:r>
      <w:r w:rsidR="00EE431A" w:rsidRPr="00C2548D">
        <w:rPr>
          <w:lang w:val="fr-FR"/>
        </w:rPr>
        <w:t xml:space="preserve">tribunal </w:t>
      </w:r>
      <w:r w:rsidR="00E22702" w:rsidRPr="00C2548D">
        <w:rPr>
          <w:lang w:val="fr-FR"/>
        </w:rPr>
        <w:t>pour enfants</w:t>
      </w:r>
      <w:r w:rsidR="00D67316" w:rsidRPr="00C2548D">
        <w:rPr>
          <w:lang w:val="fr-FR"/>
        </w:rPr>
        <w:t xml:space="preserve"> et suspendit le droit de visite du requérant.</w:t>
      </w:r>
    </w:p>
    <w:p w:rsidR="0051338F" w:rsidRPr="00C2548D" w:rsidRDefault="00C2548D" w:rsidP="00277A6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32</w:t>
      </w:r>
      <w:r>
        <w:rPr>
          <w:noProof/>
        </w:rPr>
        <w:fldChar w:fldCharType="end"/>
      </w:r>
      <w:r w:rsidR="004C11C5" w:rsidRPr="00C2548D">
        <w:rPr>
          <w:lang w:val="fr-FR"/>
        </w:rPr>
        <w:t>.  </w:t>
      </w:r>
      <w:r w:rsidR="00277A66" w:rsidRPr="00C2548D">
        <w:rPr>
          <w:lang w:val="fr-FR"/>
        </w:rPr>
        <w:t>En sep</w:t>
      </w:r>
      <w:r w:rsidR="00980CC2" w:rsidRPr="00C2548D">
        <w:rPr>
          <w:lang w:val="fr-FR"/>
        </w:rPr>
        <w:t>tembre 2013 et janvier 2014, le</w:t>
      </w:r>
      <w:r w:rsidR="00277A66" w:rsidRPr="00C2548D">
        <w:rPr>
          <w:lang w:val="fr-FR"/>
        </w:rPr>
        <w:t xml:space="preserve"> requérant envoya deux lettres à l</w:t>
      </w:r>
      <w:r>
        <w:rPr>
          <w:lang w:val="fr-FR"/>
        </w:rPr>
        <w:t>’</w:t>
      </w:r>
      <w:r w:rsidR="00277A66" w:rsidRPr="00C2548D">
        <w:rPr>
          <w:lang w:val="fr-FR"/>
        </w:rPr>
        <w:t>enfant.</w:t>
      </w:r>
    </w:p>
    <w:p w:rsidR="0051338F" w:rsidRPr="00C2548D" w:rsidRDefault="00277A66" w:rsidP="00277A66">
      <w:pPr>
        <w:pStyle w:val="ECHRPara"/>
        <w:rPr>
          <w:lang w:val="fr-FR"/>
        </w:rPr>
      </w:pPr>
      <w:r w:rsidRPr="00C2548D">
        <w:rPr>
          <w:lang w:val="fr-FR"/>
        </w:rPr>
        <w:t>Dans la première lettre</w:t>
      </w:r>
      <w:r w:rsidR="00980CC2" w:rsidRPr="00C2548D">
        <w:rPr>
          <w:lang w:val="fr-FR"/>
        </w:rPr>
        <w:t>,</w:t>
      </w:r>
      <w:r w:rsidRPr="00C2548D">
        <w:rPr>
          <w:lang w:val="fr-FR"/>
        </w:rPr>
        <w:t xml:space="preserve"> le </w:t>
      </w:r>
      <w:r w:rsidR="00DA6DEF" w:rsidRPr="00C2548D">
        <w:rPr>
          <w:lang w:val="fr-FR"/>
        </w:rPr>
        <w:t>requérant</w:t>
      </w:r>
      <w:r w:rsidR="00980CC2" w:rsidRPr="00C2548D">
        <w:rPr>
          <w:lang w:val="fr-FR"/>
        </w:rPr>
        <w:t>,</w:t>
      </w:r>
      <w:r w:rsidR="00DA6DEF" w:rsidRPr="00C2548D">
        <w:rPr>
          <w:lang w:val="fr-FR"/>
        </w:rPr>
        <w:t xml:space="preserve"> après avoir dit à sa f</w:t>
      </w:r>
      <w:r w:rsidRPr="00C2548D">
        <w:rPr>
          <w:lang w:val="fr-FR"/>
        </w:rPr>
        <w:t>ille qu</w:t>
      </w:r>
      <w:r w:rsidR="00C2548D">
        <w:rPr>
          <w:lang w:val="fr-FR"/>
        </w:rPr>
        <w:t>’</w:t>
      </w:r>
      <w:r w:rsidRPr="00C2548D">
        <w:rPr>
          <w:lang w:val="fr-FR"/>
        </w:rPr>
        <w:t>il l</w:t>
      </w:r>
      <w:r w:rsidR="00C2548D">
        <w:rPr>
          <w:lang w:val="fr-FR"/>
        </w:rPr>
        <w:t>’</w:t>
      </w:r>
      <w:r w:rsidRPr="00C2548D">
        <w:rPr>
          <w:lang w:val="fr-FR"/>
        </w:rPr>
        <w:t>aimait, lui demandait de bien travailler à l</w:t>
      </w:r>
      <w:r w:rsidR="00C2548D">
        <w:rPr>
          <w:lang w:val="fr-FR"/>
        </w:rPr>
        <w:t>’</w:t>
      </w:r>
      <w:r w:rsidRPr="00C2548D">
        <w:rPr>
          <w:lang w:val="fr-FR"/>
        </w:rPr>
        <w:t>école</w:t>
      </w:r>
      <w:r w:rsidR="00DA6DEF" w:rsidRPr="00C2548D">
        <w:rPr>
          <w:lang w:val="fr-FR"/>
        </w:rPr>
        <w:t>,</w:t>
      </w:r>
      <w:r w:rsidRPr="00C2548D">
        <w:rPr>
          <w:lang w:val="fr-FR"/>
        </w:rPr>
        <w:t xml:space="preserve"> de bien </w:t>
      </w:r>
      <w:r w:rsidR="00DA6DEF" w:rsidRPr="00C2548D">
        <w:rPr>
          <w:lang w:val="fr-FR"/>
        </w:rPr>
        <w:t>étudier</w:t>
      </w:r>
      <w:r w:rsidRPr="00C2548D">
        <w:rPr>
          <w:lang w:val="fr-FR"/>
        </w:rPr>
        <w:t xml:space="preserve"> les langues et les coutumes des autres pays, il lui disait qu</w:t>
      </w:r>
      <w:r w:rsidR="00C2548D">
        <w:rPr>
          <w:lang w:val="fr-FR"/>
        </w:rPr>
        <w:t>’</w:t>
      </w:r>
      <w:r w:rsidRPr="00C2548D">
        <w:rPr>
          <w:lang w:val="fr-FR"/>
        </w:rPr>
        <w:t>il était en train de chercher du travail, qu</w:t>
      </w:r>
      <w:r w:rsidR="00C2548D">
        <w:rPr>
          <w:lang w:val="fr-FR"/>
        </w:rPr>
        <w:t>’</w:t>
      </w:r>
      <w:r w:rsidRPr="00C2548D">
        <w:rPr>
          <w:lang w:val="fr-FR"/>
        </w:rPr>
        <w:t>il pensait toujours à elle</w:t>
      </w:r>
      <w:r w:rsidR="004D2708" w:rsidRPr="00C2548D">
        <w:rPr>
          <w:lang w:val="fr-FR"/>
        </w:rPr>
        <w:t>,</w:t>
      </w:r>
      <w:r w:rsidRPr="00C2548D">
        <w:rPr>
          <w:lang w:val="fr-FR"/>
        </w:rPr>
        <w:t xml:space="preserve"> et de ne pas oublier qu</w:t>
      </w:r>
      <w:r w:rsidR="00C2548D">
        <w:rPr>
          <w:lang w:val="fr-FR"/>
        </w:rPr>
        <w:t>’</w:t>
      </w:r>
      <w:r w:rsidRPr="00C2548D">
        <w:rPr>
          <w:lang w:val="fr-FR"/>
        </w:rPr>
        <w:t>elle avait une famille</w:t>
      </w:r>
      <w:r w:rsidR="00DA6DEF" w:rsidRPr="00C2548D">
        <w:rPr>
          <w:lang w:val="fr-FR"/>
        </w:rPr>
        <w:t xml:space="preserve"> </w:t>
      </w:r>
      <w:r w:rsidR="00D73835" w:rsidRPr="00C2548D">
        <w:rPr>
          <w:lang w:val="fr-FR"/>
        </w:rPr>
        <w:t>ailleurs</w:t>
      </w:r>
      <w:r w:rsidRPr="00C2548D">
        <w:rPr>
          <w:lang w:val="fr-FR"/>
        </w:rPr>
        <w:t>.</w:t>
      </w:r>
    </w:p>
    <w:p w:rsidR="00277A66" w:rsidRPr="00C2548D" w:rsidRDefault="00277A66" w:rsidP="00277A66">
      <w:pPr>
        <w:pStyle w:val="ECHRPara"/>
        <w:rPr>
          <w:lang w:val="fr-FR"/>
        </w:rPr>
      </w:pPr>
      <w:r w:rsidRPr="00C2548D">
        <w:rPr>
          <w:lang w:val="fr-FR"/>
        </w:rPr>
        <w:t>Dans la deuxième lettre, il lui disait qu</w:t>
      </w:r>
      <w:r w:rsidR="00C2548D">
        <w:rPr>
          <w:lang w:val="fr-FR"/>
        </w:rPr>
        <w:t>’</w:t>
      </w:r>
      <w:r w:rsidRPr="00C2548D">
        <w:rPr>
          <w:lang w:val="fr-FR"/>
        </w:rPr>
        <w:t>il avait envie de la revoir et de l</w:t>
      </w:r>
      <w:r w:rsidR="00C2548D">
        <w:rPr>
          <w:lang w:val="fr-FR"/>
        </w:rPr>
        <w:t>’</w:t>
      </w:r>
      <w:r w:rsidRPr="00C2548D">
        <w:rPr>
          <w:lang w:val="fr-FR"/>
        </w:rPr>
        <w:t>embrasser</w:t>
      </w:r>
      <w:r w:rsidR="00284260" w:rsidRPr="00C2548D">
        <w:rPr>
          <w:lang w:val="fr-FR"/>
        </w:rPr>
        <w:t>,</w:t>
      </w:r>
      <w:r w:rsidRPr="00C2548D">
        <w:rPr>
          <w:lang w:val="fr-FR"/>
        </w:rPr>
        <w:t xml:space="preserve"> mais qu</w:t>
      </w:r>
      <w:r w:rsidR="00C2548D">
        <w:rPr>
          <w:lang w:val="fr-FR"/>
        </w:rPr>
        <w:t>’</w:t>
      </w:r>
      <w:r w:rsidRPr="00C2548D">
        <w:rPr>
          <w:lang w:val="fr-FR"/>
        </w:rPr>
        <w:t>il craignait de lui faire peur. Il lui demandait de bien se conduire avec la famille d</w:t>
      </w:r>
      <w:r w:rsidR="00C2548D">
        <w:rPr>
          <w:lang w:val="fr-FR"/>
        </w:rPr>
        <w:t>’</w:t>
      </w:r>
      <w:r w:rsidRPr="00C2548D">
        <w:rPr>
          <w:lang w:val="fr-FR"/>
        </w:rPr>
        <w:t>accueil et de bien travailler à l</w:t>
      </w:r>
      <w:r w:rsidR="00C2548D">
        <w:rPr>
          <w:lang w:val="fr-FR"/>
        </w:rPr>
        <w:t>’</w:t>
      </w:r>
      <w:r w:rsidRPr="00C2548D">
        <w:rPr>
          <w:lang w:val="fr-FR"/>
        </w:rPr>
        <w:t>école</w:t>
      </w:r>
      <w:r w:rsidR="004D2708" w:rsidRPr="00C2548D">
        <w:rPr>
          <w:lang w:val="fr-FR"/>
        </w:rPr>
        <w:t>,</w:t>
      </w:r>
      <w:r w:rsidRPr="00C2548D">
        <w:rPr>
          <w:lang w:val="fr-FR"/>
        </w:rPr>
        <w:t xml:space="preserve"> et lui disait qu</w:t>
      </w:r>
      <w:r w:rsidR="00C2548D">
        <w:rPr>
          <w:lang w:val="fr-FR"/>
        </w:rPr>
        <w:t>’</w:t>
      </w:r>
      <w:r w:rsidRPr="00C2548D">
        <w:rPr>
          <w:lang w:val="fr-FR"/>
        </w:rPr>
        <w:t>il cherchait un travail</w:t>
      </w:r>
      <w:r w:rsidR="00284260" w:rsidRPr="00C2548D">
        <w:rPr>
          <w:lang w:val="fr-FR"/>
        </w:rPr>
        <w:t>,</w:t>
      </w:r>
      <w:r w:rsidRPr="00C2548D">
        <w:rPr>
          <w:lang w:val="fr-FR"/>
        </w:rPr>
        <w:t xml:space="preserve"> mais qu</w:t>
      </w:r>
      <w:r w:rsidR="00C2548D">
        <w:rPr>
          <w:lang w:val="fr-FR"/>
        </w:rPr>
        <w:t>’</w:t>
      </w:r>
      <w:r w:rsidRPr="00C2548D">
        <w:rPr>
          <w:lang w:val="fr-FR"/>
        </w:rPr>
        <w:t>étant étranger la situation était difficile</w:t>
      </w:r>
      <w:r w:rsidR="004D2708" w:rsidRPr="00C2548D">
        <w:rPr>
          <w:lang w:val="fr-FR"/>
        </w:rPr>
        <w:t xml:space="preserve"> pour lui</w:t>
      </w:r>
      <w:r w:rsidRPr="00C2548D">
        <w:rPr>
          <w:lang w:val="fr-FR"/>
        </w:rPr>
        <w:t>.</w:t>
      </w:r>
    </w:p>
    <w:p w:rsidR="00E10DF2" w:rsidRPr="00C2548D" w:rsidRDefault="007D5CCA" w:rsidP="007D5CCA">
      <w:pPr>
        <w:pStyle w:val="ECHRHeading2"/>
        <w:rPr>
          <w:lang w:val="fr-FR"/>
        </w:rPr>
      </w:pPr>
      <w:r w:rsidRPr="00C2548D">
        <w:rPr>
          <w:lang w:val="fr-FR"/>
        </w:rPr>
        <w:t>B.  </w:t>
      </w:r>
      <w:r w:rsidR="000900D5" w:rsidRPr="00C2548D">
        <w:rPr>
          <w:lang w:val="fr-FR"/>
        </w:rPr>
        <w:t>La p</w:t>
      </w:r>
      <w:r w:rsidR="00E10DF2" w:rsidRPr="00C2548D">
        <w:rPr>
          <w:lang w:val="fr-FR"/>
        </w:rPr>
        <w:t>rocédure portant sur l</w:t>
      </w:r>
      <w:r w:rsidR="00C2548D">
        <w:rPr>
          <w:lang w:val="fr-FR"/>
        </w:rPr>
        <w:t>’</w:t>
      </w:r>
      <w:r w:rsidR="00E10DF2" w:rsidRPr="00C2548D">
        <w:rPr>
          <w:lang w:val="fr-FR"/>
        </w:rPr>
        <w:t>adoption de l</w:t>
      </w:r>
      <w:r w:rsidR="00C2548D">
        <w:rPr>
          <w:lang w:val="fr-FR"/>
        </w:rPr>
        <w:t>’</w:t>
      </w:r>
      <w:r w:rsidR="00E10DF2" w:rsidRPr="00C2548D">
        <w:rPr>
          <w:lang w:val="fr-FR"/>
        </w:rPr>
        <w:t>enfant</w:t>
      </w:r>
    </w:p>
    <w:p w:rsidR="004D2708"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33</w:t>
      </w:r>
      <w:r>
        <w:rPr>
          <w:noProof/>
        </w:rPr>
        <w:fldChar w:fldCharType="end"/>
      </w:r>
      <w:r w:rsidR="00D67316" w:rsidRPr="00C2548D">
        <w:rPr>
          <w:lang w:val="fr-FR"/>
        </w:rPr>
        <w:t>.  Pa</w:t>
      </w:r>
      <w:r w:rsidR="00DD1423" w:rsidRPr="00C2548D">
        <w:rPr>
          <w:lang w:val="fr-FR"/>
        </w:rPr>
        <w:t>r une décision du 23 janvier 201</w:t>
      </w:r>
      <w:r w:rsidR="00D67316" w:rsidRPr="00C2548D">
        <w:rPr>
          <w:lang w:val="fr-FR"/>
        </w:rPr>
        <w:t xml:space="preserve">4, le </w:t>
      </w:r>
      <w:r w:rsidR="00CC7130" w:rsidRPr="00C2548D">
        <w:rPr>
          <w:lang w:val="fr-FR"/>
        </w:rPr>
        <w:t xml:space="preserve">tribunal </w:t>
      </w:r>
      <w:r w:rsidR="00101003" w:rsidRPr="00C2548D">
        <w:rPr>
          <w:lang w:val="fr-FR"/>
        </w:rPr>
        <w:t xml:space="preserve">pour enfants </w:t>
      </w:r>
      <w:r w:rsidR="00D67316" w:rsidRPr="00C2548D">
        <w:rPr>
          <w:lang w:val="fr-FR"/>
        </w:rPr>
        <w:t xml:space="preserve">de </w:t>
      </w:r>
      <w:r w:rsidR="00D50FEF" w:rsidRPr="00C2548D">
        <w:rPr>
          <w:lang w:val="fr-FR"/>
        </w:rPr>
        <w:t>Lecce</w:t>
      </w:r>
      <w:r w:rsidR="00D67316" w:rsidRPr="00C2548D">
        <w:rPr>
          <w:lang w:val="fr-FR"/>
        </w:rPr>
        <w:t xml:space="preserve"> déclara l</w:t>
      </w:r>
      <w:r>
        <w:rPr>
          <w:lang w:val="fr-FR"/>
        </w:rPr>
        <w:t>’</w:t>
      </w:r>
      <w:r w:rsidR="00D67316" w:rsidRPr="00C2548D">
        <w:rPr>
          <w:lang w:val="fr-FR"/>
        </w:rPr>
        <w:t>enfant</w:t>
      </w:r>
      <w:r w:rsidR="008C7378" w:rsidRPr="00C2548D">
        <w:rPr>
          <w:lang w:val="fr-FR"/>
        </w:rPr>
        <w:t xml:space="preserve"> adoptable</w:t>
      </w:r>
      <w:r w:rsidR="00D67316" w:rsidRPr="00C2548D">
        <w:rPr>
          <w:lang w:val="fr-FR"/>
        </w:rPr>
        <w:t>.</w:t>
      </w:r>
    </w:p>
    <w:p w:rsidR="004D2708" w:rsidRPr="00C2548D" w:rsidRDefault="004D2708" w:rsidP="00D67316">
      <w:pPr>
        <w:pStyle w:val="ECHRPara"/>
        <w:rPr>
          <w:lang w:val="fr-FR"/>
        </w:rPr>
      </w:pPr>
      <w:r w:rsidRPr="00C2548D">
        <w:rPr>
          <w:lang w:val="fr-FR"/>
        </w:rPr>
        <w:t>Dans ses motifs, a</w:t>
      </w:r>
      <w:r w:rsidR="00D67316" w:rsidRPr="00C2548D">
        <w:rPr>
          <w:lang w:val="fr-FR"/>
        </w:rPr>
        <w:t xml:space="preserve">près avoir </w:t>
      </w:r>
      <w:r w:rsidRPr="00C2548D">
        <w:rPr>
          <w:lang w:val="fr-FR"/>
        </w:rPr>
        <w:t>vérifié</w:t>
      </w:r>
      <w:r w:rsidR="004510CD" w:rsidRPr="00C2548D">
        <w:rPr>
          <w:lang w:val="fr-FR"/>
        </w:rPr>
        <w:t xml:space="preserve"> qu</w:t>
      </w:r>
      <w:r w:rsidR="00C2548D">
        <w:rPr>
          <w:lang w:val="fr-FR"/>
        </w:rPr>
        <w:t>’</w:t>
      </w:r>
      <w:r w:rsidR="004510CD" w:rsidRPr="00C2548D">
        <w:rPr>
          <w:lang w:val="fr-FR"/>
        </w:rPr>
        <w:t>il était établi</w:t>
      </w:r>
      <w:r w:rsidRPr="00C2548D">
        <w:rPr>
          <w:lang w:val="fr-FR"/>
        </w:rPr>
        <w:t xml:space="preserve"> </w:t>
      </w:r>
      <w:r w:rsidR="00D67316" w:rsidRPr="00C2548D">
        <w:rPr>
          <w:lang w:val="fr-FR"/>
        </w:rPr>
        <w:t>que le requérant était</w:t>
      </w:r>
      <w:r w:rsidRPr="00C2548D">
        <w:rPr>
          <w:lang w:val="fr-FR"/>
        </w:rPr>
        <w:t xml:space="preserve"> bien</w:t>
      </w:r>
      <w:r w:rsidR="00D67316" w:rsidRPr="00C2548D">
        <w:rPr>
          <w:lang w:val="fr-FR"/>
        </w:rPr>
        <w:t xml:space="preserve"> le père biologique de l</w:t>
      </w:r>
      <w:r w:rsidR="00C2548D">
        <w:rPr>
          <w:lang w:val="fr-FR"/>
        </w:rPr>
        <w:t>’</w:t>
      </w:r>
      <w:r w:rsidR="00D67316" w:rsidRPr="00C2548D">
        <w:rPr>
          <w:lang w:val="fr-FR"/>
        </w:rPr>
        <w:t>enfant et que la mère n</w:t>
      </w:r>
      <w:r w:rsidR="00C2548D">
        <w:rPr>
          <w:lang w:val="fr-FR"/>
        </w:rPr>
        <w:t>’</w:t>
      </w:r>
      <w:r w:rsidR="00D67316" w:rsidRPr="00C2548D">
        <w:rPr>
          <w:lang w:val="fr-FR"/>
        </w:rPr>
        <w:t>était pas connue</w:t>
      </w:r>
      <w:r w:rsidR="00D50FEF" w:rsidRPr="00C2548D">
        <w:rPr>
          <w:lang w:val="fr-FR"/>
        </w:rPr>
        <w:t xml:space="preserve">, </w:t>
      </w:r>
      <w:r w:rsidRPr="00C2548D">
        <w:rPr>
          <w:lang w:val="fr-FR"/>
        </w:rPr>
        <w:t xml:space="preserve">le tribunal </w:t>
      </w:r>
      <w:r w:rsidR="00D50FEF" w:rsidRPr="00C2548D">
        <w:rPr>
          <w:lang w:val="fr-FR"/>
        </w:rPr>
        <w:t>rappela</w:t>
      </w:r>
      <w:r w:rsidR="000E6D7E" w:rsidRPr="00C2548D">
        <w:rPr>
          <w:lang w:val="fr-FR"/>
        </w:rPr>
        <w:t xml:space="preserve"> </w:t>
      </w:r>
      <w:r w:rsidRPr="00C2548D">
        <w:rPr>
          <w:lang w:val="fr-FR"/>
        </w:rPr>
        <w:t>et considéra tout d</w:t>
      </w:r>
      <w:r w:rsidR="00C2548D">
        <w:rPr>
          <w:lang w:val="fr-FR"/>
        </w:rPr>
        <w:t>’</w:t>
      </w:r>
      <w:r w:rsidRPr="00C2548D">
        <w:rPr>
          <w:lang w:val="fr-FR"/>
        </w:rPr>
        <w:t>abord</w:t>
      </w:r>
      <w:r w:rsidR="00EB0A3F" w:rsidRPr="00C2548D">
        <w:rPr>
          <w:lang w:val="fr-FR"/>
        </w:rPr>
        <w:t> </w:t>
      </w:r>
      <w:r w:rsidRPr="00C2548D">
        <w:rPr>
          <w:lang w:val="fr-FR"/>
        </w:rPr>
        <w:t>:</w:t>
      </w:r>
    </w:p>
    <w:p w:rsidR="004D2708" w:rsidRPr="00C2548D" w:rsidRDefault="004D2708" w:rsidP="00D67316">
      <w:pPr>
        <w:pStyle w:val="ECHRPara"/>
        <w:rPr>
          <w:lang w:val="fr-FR"/>
        </w:rPr>
      </w:pPr>
      <w:r w:rsidRPr="00C2548D">
        <w:rPr>
          <w:lang w:val="fr-FR"/>
        </w:rPr>
        <w:t>–</w:t>
      </w:r>
      <w:r w:rsidR="0010556A" w:rsidRPr="00C2548D">
        <w:rPr>
          <w:lang w:val="fr-FR"/>
        </w:rPr>
        <w:t>  </w:t>
      </w:r>
      <w:r w:rsidR="00D50FEF" w:rsidRPr="00C2548D">
        <w:rPr>
          <w:lang w:val="fr-FR"/>
        </w:rPr>
        <w:t xml:space="preserve">que pendant la détention, le </w:t>
      </w:r>
      <w:r w:rsidR="003B03D9" w:rsidRPr="00C2548D">
        <w:rPr>
          <w:lang w:val="fr-FR"/>
        </w:rPr>
        <w:t>requérant</w:t>
      </w:r>
      <w:r w:rsidR="00C45146" w:rsidRPr="00C2548D">
        <w:rPr>
          <w:lang w:val="fr-FR"/>
        </w:rPr>
        <w:t xml:space="preserve"> </w:t>
      </w:r>
      <w:r w:rsidRPr="00C2548D">
        <w:rPr>
          <w:lang w:val="fr-FR"/>
        </w:rPr>
        <w:t>s</w:t>
      </w:r>
      <w:r w:rsidR="00C2548D">
        <w:rPr>
          <w:lang w:val="fr-FR"/>
        </w:rPr>
        <w:t>’</w:t>
      </w:r>
      <w:r w:rsidR="00D50FEF" w:rsidRPr="00C2548D">
        <w:rPr>
          <w:lang w:val="fr-FR"/>
        </w:rPr>
        <w:t xml:space="preserve">était opposé à </w:t>
      </w:r>
      <w:r w:rsidRPr="00C2548D">
        <w:rPr>
          <w:lang w:val="fr-FR"/>
        </w:rPr>
        <w:t>ce que</w:t>
      </w:r>
      <w:r w:rsidR="00D50FEF" w:rsidRPr="00C2548D">
        <w:rPr>
          <w:lang w:val="fr-FR"/>
        </w:rPr>
        <w:t xml:space="preserve"> sa fill</w:t>
      </w:r>
      <w:r w:rsidR="00980CC2" w:rsidRPr="00C2548D">
        <w:rPr>
          <w:lang w:val="fr-FR"/>
        </w:rPr>
        <w:t xml:space="preserve">e </w:t>
      </w:r>
      <w:r w:rsidRPr="00C2548D">
        <w:rPr>
          <w:lang w:val="fr-FR"/>
        </w:rPr>
        <w:t xml:space="preserve">soit déclarée adoptable, </w:t>
      </w:r>
      <w:r w:rsidR="00980CC2" w:rsidRPr="00C2548D">
        <w:rPr>
          <w:lang w:val="fr-FR"/>
        </w:rPr>
        <w:t>et avait demandé</w:t>
      </w:r>
      <w:r w:rsidR="00AC7360" w:rsidRPr="00C2548D">
        <w:rPr>
          <w:lang w:val="fr-FR"/>
        </w:rPr>
        <w:t xml:space="preserve"> qu</w:t>
      </w:r>
      <w:r w:rsidR="00C2548D">
        <w:rPr>
          <w:lang w:val="fr-FR"/>
        </w:rPr>
        <w:t>’</w:t>
      </w:r>
      <w:r w:rsidR="00AC7360" w:rsidRPr="00C2548D">
        <w:rPr>
          <w:lang w:val="fr-FR"/>
        </w:rPr>
        <w:t>elle soit</w:t>
      </w:r>
      <w:r w:rsidR="00D50FEF" w:rsidRPr="00C2548D">
        <w:rPr>
          <w:lang w:val="fr-FR"/>
        </w:rPr>
        <w:t xml:space="preserve"> </w:t>
      </w:r>
      <w:r w:rsidR="003B03D9" w:rsidRPr="00C2548D">
        <w:rPr>
          <w:lang w:val="fr-FR"/>
        </w:rPr>
        <w:t>renvoyé</w:t>
      </w:r>
      <w:r w:rsidR="00AC7360" w:rsidRPr="00C2548D">
        <w:rPr>
          <w:lang w:val="fr-FR"/>
        </w:rPr>
        <w:t>e</w:t>
      </w:r>
      <w:r w:rsidR="00D50FEF" w:rsidRPr="00C2548D">
        <w:rPr>
          <w:lang w:val="fr-FR"/>
        </w:rPr>
        <w:t xml:space="preserve"> auprès de </w:t>
      </w:r>
      <w:r w:rsidR="00980CC2" w:rsidRPr="00C2548D">
        <w:rPr>
          <w:lang w:val="fr-FR"/>
        </w:rPr>
        <w:t xml:space="preserve">sa </w:t>
      </w:r>
      <w:r w:rsidR="003B03D9" w:rsidRPr="00C2548D">
        <w:rPr>
          <w:lang w:val="fr-FR"/>
        </w:rPr>
        <w:t>grand-mère</w:t>
      </w:r>
      <w:r w:rsidR="00980CC2" w:rsidRPr="00C2548D">
        <w:rPr>
          <w:lang w:val="fr-FR"/>
        </w:rPr>
        <w:t xml:space="preserve"> au Nigeria</w:t>
      </w:r>
      <w:r w:rsidRPr="00C2548D">
        <w:rPr>
          <w:lang w:val="fr-FR"/>
        </w:rPr>
        <w:t> ;</w:t>
      </w:r>
    </w:p>
    <w:p w:rsidR="004D2708" w:rsidRPr="00C2548D" w:rsidRDefault="004D2708" w:rsidP="00D67316">
      <w:pPr>
        <w:pStyle w:val="ECHRPara"/>
        <w:rPr>
          <w:lang w:val="fr-FR"/>
        </w:rPr>
      </w:pPr>
      <w:r w:rsidRPr="00C2548D">
        <w:rPr>
          <w:lang w:val="fr-FR"/>
        </w:rPr>
        <w:t>–</w:t>
      </w:r>
      <w:r w:rsidR="0010556A" w:rsidRPr="00C2548D">
        <w:rPr>
          <w:lang w:val="fr-FR"/>
        </w:rPr>
        <w:t>  </w:t>
      </w:r>
      <w:r w:rsidRPr="00C2548D">
        <w:rPr>
          <w:lang w:val="fr-FR"/>
        </w:rPr>
        <w:t>qu</w:t>
      </w:r>
      <w:r w:rsidR="00C2548D">
        <w:rPr>
          <w:lang w:val="fr-FR"/>
        </w:rPr>
        <w:t>’</w:t>
      </w:r>
      <w:r w:rsidR="00D50FEF" w:rsidRPr="00C2548D">
        <w:rPr>
          <w:lang w:val="fr-FR"/>
        </w:rPr>
        <w:t>ensuite</w:t>
      </w:r>
      <w:r w:rsidRPr="00C2548D">
        <w:rPr>
          <w:lang w:val="fr-FR"/>
        </w:rPr>
        <w:t>,</w:t>
      </w:r>
      <w:r w:rsidR="00D50FEF" w:rsidRPr="00C2548D">
        <w:rPr>
          <w:lang w:val="fr-FR"/>
        </w:rPr>
        <w:t xml:space="preserve"> une fois libéré, il avait demandé </w:t>
      </w:r>
      <w:r w:rsidRPr="00C2548D">
        <w:rPr>
          <w:lang w:val="fr-FR"/>
        </w:rPr>
        <w:t xml:space="preserve">à </w:t>
      </w:r>
      <w:r w:rsidR="00D50FEF" w:rsidRPr="00C2548D">
        <w:rPr>
          <w:lang w:val="fr-FR"/>
        </w:rPr>
        <w:t>pouvoir la rencontrer</w:t>
      </w:r>
      <w:r w:rsidRPr="00C2548D">
        <w:rPr>
          <w:lang w:val="fr-FR"/>
        </w:rPr>
        <w:t> ;</w:t>
      </w:r>
    </w:p>
    <w:p w:rsidR="00D67316" w:rsidRPr="00C2548D" w:rsidRDefault="004D2708" w:rsidP="00D67316">
      <w:pPr>
        <w:pStyle w:val="ECHRPara"/>
        <w:rPr>
          <w:lang w:val="fr-FR"/>
        </w:rPr>
      </w:pPr>
      <w:r w:rsidRPr="00C2548D">
        <w:rPr>
          <w:lang w:val="fr-FR"/>
        </w:rPr>
        <w:t>–</w:t>
      </w:r>
      <w:r w:rsidR="0010556A" w:rsidRPr="00C2548D">
        <w:rPr>
          <w:lang w:val="fr-FR"/>
        </w:rPr>
        <w:t>  </w:t>
      </w:r>
      <w:r w:rsidRPr="00C2548D">
        <w:rPr>
          <w:lang w:val="fr-FR"/>
        </w:rPr>
        <w:t>qu</w:t>
      </w:r>
      <w:r w:rsidR="00C2548D">
        <w:rPr>
          <w:lang w:val="fr-FR"/>
        </w:rPr>
        <w:t>’</w:t>
      </w:r>
      <w:r w:rsidRPr="00C2548D">
        <w:rPr>
          <w:lang w:val="fr-FR"/>
        </w:rPr>
        <w:t xml:space="preserve">il avait ainsi démontré </w:t>
      </w:r>
      <w:r w:rsidR="00D73835" w:rsidRPr="00C2548D">
        <w:rPr>
          <w:lang w:val="fr-FR"/>
        </w:rPr>
        <w:t>qu</w:t>
      </w:r>
      <w:r w:rsidR="00C2548D">
        <w:rPr>
          <w:lang w:val="fr-FR"/>
        </w:rPr>
        <w:t>’</w:t>
      </w:r>
      <w:r w:rsidR="00D73835" w:rsidRPr="00C2548D">
        <w:rPr>
          <w:lang w:val="fr-FR"/>
        </w:rPr>
        <w:t>il la considérait comme une propriété sans prendre en considération l</w:t>
      </w:r>
      <w:r w:rsidR="00C2548D">
        <w:rPr>
          <w:lang w:val="fr-FR"/>
        </w:rPr>
        <w:t>’</w:t>
      </w:r>
      <w:r w:rsidR="00D73835" w:rsidRPr="00C2548D">
        <w:rPr>
          <w:lang w:val="fr-FR"/>
        </w:rPr>
        <w:t>intérêt de l</w:t>
      </w:r>
      <w:r w:rsidR="00C2548D">
        <w:rPr>
          <w:lang w:val="fr-FR"/>
        </w:rPr>
        <w:t>’</w:t>
      </w:r>
      <w:r w:rsidR="00D73835" w:rsidRPr="00C2548D">
        <w:rPr>
          <w:lang w:val="fr-FR"/>
        </w:rPr>
        <w:t>enfant.</w:t>
      </w:r>
    </w:p>
    <w:p w:rsidR="004510CD" w:rsidRPr="00C2548D" w:rsidRDefault="00C2548D" w:rsidP="00837BEB">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34</w:t>
      </w:r>
      <w:r>
        <w:rPr>
          <w:noProof/>
        </w:rPr>
        <w:fldChar w:fldCharType="end"/>
      </w:r>
      <w:r w:rsidR="00957200" w:rsidRPr="00C2548D">
        <w:rPr>
          <w:lang w:val="fr-FR"/>
        </w:rPr>
        <w:t>.  </w:t>
      </w:r>
      <w:r w:rsidR="004510CD" w:rsidRPr="00C2548D">
        <w:rPr>
          <w:lang w:val="fr-FR"/>
        </w:rPr>
        <w:t>Le tribunal considéra en outre :</w:t>
      </w:r>
    </w:p>
    <w:p w:rsidR="004510CD" w:rsidRPr="00C2548D" w:rsidRDefault="004510CD" w:rsidP="00837BEB">
      <w:pPr>
        <w:pStyle w:val="ECHRPara"/>
        <w:rPr>
          <w:lang w:val="fr-FR"/>
        </w:rPr>
      </w:pPr>
      <w:r w:rsidRPr="00C2548D">
        <w:rPr>
          <w:lang w:val="fr-FR"/>
        </w:rPr>
        <w:t>–</w:t>
      </w:r>
      <w:r w:rsidR="0010556A" w:rsidRPr="00C2548D">
        <w:rPr>
          <w:lang w:val="fr-FR"/>
        </w:rPr>
        <w:t>  </w:t>
      </w:r>
      <w:r w:rsidRPr="00C2548D">
        <w:rPr>
          <w:lang w:val="fr-FR"/>
        </w:rPr>
        <w:t>qu</w:t>
      </w:r>
      <w:r w:rsidR="00C2548D">
        <w:rPr>
          <w:lang w:val="fr-FR"/>
        </w:rPr>
        <w:t>’</w:t>
      </w:r>
      <w:r w:rsidRPr="00C2548D">
        <w:rPr>
          <w:lang w:val="fr-FR"/>
        </w:rPr>
        <w:t xml:space="preserve">en décidant </w:t>
      </w:r>
      <w:r w:rsidR="00270273" w:rsidRPr="00C2548D">
        <w:rPr>
          <w:lang w:val="fr-FR"/>
        </w:rPr>
        <w:t>d</w:t>
      </w:r>
      <w:r w:rsidR="00C2548D">
        <w:rPr>
          <w:lang w:val="fr-FR"/>
        </w:rPr>
        <w:t>’</w:t>
      </w:r>
      <w:r w:rsidR="00270273" w:rsidRPr="00C2548D">
        <w:rPr>
          <w:lang w:val="fr-FR"/>
        </w:rPr>
        <w:t>emmener l</w:t>
      </w:r>
      <w:r w:rsidR="00C2548D">
        <w:rPr>
          <w:lang w:val="fr-FR"/>
        </w:rPr>
        <w:t>’</w:t>
      </w:r>
      <w:r w:rsidR="00270273" w:rsidRPr="00C2548D">
        <w:rPr>
          <w:lang w:val="fr-FR"/>
        </w:rPr>
        <w:t xml:space="preserve">enfant avec lui en </w:t>
      </w:r>
      <w:r w:rsidRPr="00C2548D">
        <w:rPr>
          <w:lang w:val="fr-FR"/>
        </w:rPr>
        <w:t>Italie, le requérant avait fait un choix qui</w:t>
      </w:r>
      <w:r w:rsidR="00270273" w:rsidRPr="00C2548D">
        <w:rPr>
          <w:lang w:val="fr-FR"/>
        </w:rPr>
        <w:t xml:space="preserve"> n</w:t>
      </w:r>
      <w:r w:rsidR="00C2548D">
        <w:rPr>
          <w:lang w:val="fr-FR"/>
        </w:rPr>
        <w:t>’</w:t>
      </w:r>
      <w:r w:rsidR="00270273" w:rsidRPr="00C2548D">
        <w:rPr>
          <w:lang w:val="fr-FR"/>
        </w:rPr>
        <w:t>était pas sans conséquences</w:t>
      </w:r>
      <w:r w:rsidRPr="00C2548D">
        <w:rPr>
          <w:lang w:val="fr-FR"/>
        </w:rPr>
        <w:t xml:space="preserve"> pour elle ;</w:t>
      </w:r>
    </w:p>
    <w:p w:rsidR="004510CD" w:rsidRPr="00C2548D" w:rsidRDefault="004510CD" w:rsidP="00837BEB">
      <w:pPr>
        <w:pStyle w:val="ECHRPara"/>
        <w:rPr>
          <w:lang w:val="fr-FR"/>
        </w:rPr>
      </w:pPr>
      <w:r w:rsidRPr="00C2548D">
        <w:rPr>
          <w:lang w:val="fr-FR"/>
        </w:rPr>
        <w:t>–</w:t>
      </w:r>
      <w:r w:rsidR="0010556A" w:rsidRPr="00C2548D">
        <w:rPr>
          <w:lang w:val="fr-FR"/>
        </w:rPr>
        <w:t>  </w:t>
      </w:r>
      <w:r w:rsidRPr="00C2548D">
        <w:rPr>
          <w:lang w:val="fr-FR"/>
        </w:rPr>
        <w:t>que</w:t>
      </w:r>
      <w:r w:rsidR="00270273" w:rsidRPr="00C2548D">
        <w:rPr>
          <w:lang w:val="fr-FR"/>
        </w:rPr>
        <w:t xml:space="preserve">, selon les services </w:t>
      </w:r>
      <w:r w:rsidR="00957200" w:rsidRPr="00C2548D">
        <w:rPr>
          <w:lang w:val="fr-FR"/>
        </w:rPr>
        <w:t>sociaux</w:t>
      </w:r>
      <w:r w:rsidR="00270273" w:rsidRPr="00C2548D">
        <w:rPr>
          <w:lang w:val="fr-FR"/>
        </w:rPr>
        <w:t xml:space="preserve">, la relation entre le requérant et sa fille était </w:t>
      </w:r>
      <w:r w:rsidRPr="00C2548D">
        <w:rPr>
          <w:lang w:val="fr-FR"/>
        </w:rPr>
        <w:t xml:space="preserve">déjà </w:t>
      </w:r>
      <w:r w:rsidR="00270273" w:rsidRPr="00C2548D">
        <w:rPr>
          <w:lang w:val="fr-FR"/>
        </w:rPr>
        <w:t>difficile lors de l</w:t>
      </w:r>
      <w:r w:rsidR="00C2548D">
        <w:rPr>
          <w:lang w:val="fr-FR"/>
        </w:rPr>
        <w:t>’</w:t>
      </w:r>
      <w:r w:rsidR="00270273" w:rsidRPr="00C2548D">
        <w:rPr>
          <w:lang w:val="fr-FR"/>
        </w:rPr>
        <w:t xml:space="preserve">arrivée en </w:t>
      </w:r>
      <w:r w:rsidR="00D73835" w:rsidRPr="00C2548D">
        <w:rPr>
          <w:lang w:val="fr-FR"/>
        </w:rPr>
        <w:t>Italie en 2009</w:t>
      </w:r>
      <w:r w:rsidRPr="00C2548D">
        <w:rPr>
          <w:lang w:val="fr-FR"/>
        </w:rPr>
        <w:t> ;</w:t>
      </w:r>
    </w:p>
    <w:p w:rsidR="004510CD" w:rsidRPr="00C2548D" w:rsidRDefault="004510CD" w:rsidP="00837BEB">
      <w:pPr>
        <w:pStyle w:val="ECHRPara"/>
        <w:rPr>
          <w:lang w:val="fr-FR"/>
        </w:rPr>
      </w:pPr>
      <w:r w:rsidRPr="00C2548D">
        <w:rPr>
          <w:lang w:val="fr-FR"/>
        </w:rPr>
        <w:t>–</w:t>
      </w:r>
      <w:r w:rsidR="0010556A" w:rsidRPr="00C2548D">
        <w:rPr>
          <w:lang w:val="fr-FR"/>
        </w:rPr>
        <w:t>  </w:t>
      </w:r>
      <w:r w:rsidR="00270273" w:rsidRPr="00C2548D">
        <w:rPr>
          <w:lang w:val="fr-FR"/>
        </w:rPr>
        <w:t>que le requérant n</w:t>
      </w:r>
      <w:r w:rsidR="00C2548D">
        <w:rPr>
          <w:lang w:val="fr-FR"/>
        </w:rPr>
        <w:t>’</w:t>
      </w:r>
      <w:r w:rsidR="00270273" w:rsidRPr="00C2548D">
        <w:rPr>
          <w:lang w:val="fr-FR"/>
        </w:rPr>
        <w:t>était pas en mesure de s</w:t>
      </w:r>
      <w:r w:rsidR="00C2548D">
        <w:rPr>
          <w:lang w:val="fr-FR"/>
        </w:rPr>
        <w:t>’</w:t>
      </w:r>
      <w:r w:rsidR="00270273" w:rsidRPr="00C2548D">
        <w:rPr>
          <w:lang w:val="fr-FR"/>
        </w:rPr>
        <w:t xml:space="preserve">occuper </w:t>
      </w:r>
      <w:r w:rsidRPr="00C2548D">
        <w:rPr>
          <w:lang w:val="fr-FR"/>
        </w:rPr>
        <w:t xml:space="preserve">de sa fille </w:t>
      </w:r>
      <w:r w:rsidR="00270273" w:rsidRPr="00C2548D">
        <w:rPr>
          <w:lang w:val="fr-FR"/>
        </w:rPr>
        <w:t>et de comprendre ses besoins</w:t>
      </w:r>
      <w:r w:rsidRPr="00C2548D">
        <w:rPr>
          <w:lang w:val="fr-FR"/>
        </w:rPr>
        <w:t> ;</w:t>
      </w:r>
    </w:p>
    <w:p w:rsidR="00C45146" w:rsidRPr="00C2548D" w:rsidRDefault="004510CD" w:rsidP="00837BEB">
      <w:pPr>
        <w:pStyle w:val="ECHRPara"/>
        <w:rPr>
          <w:lang w:val="fr-FR"/>
        </w:rPr>
      </w:pPr>
      <w:r w:rsidRPr="00C2548D">
        <w:rPr>
          <w:lang w:val="fr-FR"/>
        </w:rPr>
        <w:t xml:space="preserve">Le tribunal nota également que </w:t>
      </w:r>
      <w:r w:rsidR="00270273" w:rsidRPr="00C2548D">
        <w:rPr>
          <w:lang w:val="fr-FR"/>
        </w:rPr>
        <w:t>dans les deux lettres que le requérant avait envoyées à sa fille, il ne faisait pas mention de ce qu</w:t>
      </w:r>
      <w:r w:rsidR="00C2548D">
        <w:rPr>
          <w:lang w:val="fr-FR"/>
        </w:rPr>
        <w:t>’</w:t>
      </w:r>
      <w:r w:rsidR="00270273" w:rsidRPr="00C2548D">
        <w:rPr>
          <w:lang w:val="fr-FR"/>
        </w:rPr>
        <w:t xml:space="preserve">il </w:t>
      </w:r>
      <w:r w:rsidR="00DA6DEF" w:rsidRPr="00C2548D">
        <w:rPr>
          <w:lang w:val="fr-FR"/>
        </w:rPr>
        <w:t>souhaitait</w:t>
      </w:r>
      <w:r w:rsidR="00C45146" w:rsidRPr="00C2548D">
        <w:rPr>
          <w:lang w:val="fr-FR"/>
        </w:rPr>
        <w:t xml:space="preserve"> </w:t>
      </w:r>
      <w:r w:rsidR="008C7378" w:rsidRPr="00C2548D">
        <w:rPr>
          <w:lang w:val="fr-FR"/>
        </w:rPr>
        <w:t xml:space="preserve">en </w:t>
      </w:r>
      <w:r w:rsidR="00C45146" w:rsidRPr="00C2548D">
        <w:rPr>
          <w:lang w:val="fr-FR"/>
        </w:rPr>
        <w:t xml:space="preserve">obtenir à nouveau </w:t>
      </w:r>
      <w:r w:rsidR="008C7378" w:rsidRPr="00C2548D">
        <w:rPr>
          <w:lang w:val="fr-FR"/>
        </w:rPr>
        <w:t>la</w:t>
      </w:r>
      <w:r w:rsidR="00C45146" w:rsidRPr="00C2548D">
        <w:rPr>
          <w:lang w:val="fr-FR"/>
        </w:rPr>
        <w:t xml:space="preserve"> garde</w:t>
      </w:r>
      <w:r w:rsidR="00D73835" w:rsidRPr="00C2548D">
        <w:rPr>
          <w:lang w:val="fr-FR"/>
        </w:rPr>
        <w:t>.</w:t>
      </w:r>
    </w:p>
    <w:p w:rsidR="00270273"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35</w:t>
      </w:r>
      <w:r>
        <w:rPr>
          <w:noProof/>
        </w:rPr>
        <w:fldChar w:fldCharType="end"/>
      </w:r>
      <w:r w:rsidR="00957200" w:rsidRPr="00C2548D">
        <w:rPr>
          <w:lang w:val="fr-FR"/>
        </w:rPr>
        <w:t>.  </w:t>
      </w:r>
      <w:r w:rsidR="00980CC2" w:rsidRPr="00C2548D">
        <w:rPr>
          <w:lang w:val="fr-FR"/>
        </w:rPr>
        <w:t>En conclusion, le tribunal</w:t>
      </w:r>
      <w:r w:rsidR="00270273" w:rsidRPr="00C2548D">
        <w:rPr>
          <w:lang w:val="fr-FR"/>
        </w:rPr>
        <w:t xml:space="preserve"> </w:t>
      </w:r>
      <w:r w:rsidR="001C68DB" w:rsidRPr="00C2548D">
        <w:rPr>
          <w:lang w:val="fr-FR"/>
        </w:rPr>
        <w:t xml:space="preserve">retint </w:t>
      </w:r>
      <w:r w:rsidR="00270273" w:rsidRPr="00C2548D">
        <w:rPr>
          <w:lang w:val="fr-FR"/>
        </w:rPr>
        <w:t>que le requérant n</w:t>
      </w:r>
      <w:r>
        <w:rPr>
          <w:lang w:val="fr-FR"/>
        </w:rPr>
        <w:t>’</w:t>
      </w:r>
      <w:r w:rsidR="00270273" w:rsidRPr="00C2548D">
        <w:rPr>
          <w:lang w:val="fr-FR"/>
        </w:rPr>
        <w:t>était pas en mesure de s</w:t>
      </w:r>
      <w:r>
        <w:rPr>
          <w:lang w:val="fr-FR"/>
        </w:rPr>
        <w:t>’</w:t>
      </w:r>
      <w:r w:rsidR="00FA128C" w:rsidRPr="00C2548D">
        <w:rPr>
          <w:lang w:val="fr-FR"/>
        </w:rPr>
        <w:t xml:space="preserve">occuper de </w:t>
      </w:r>
      <w:r w:rsidR="001C68DB" w:rsidRPr="00C2548D">
        <w:rPr>
          <w:lang w:val="fr-FR"/>
        </w:rPr>
        <w:t>A. et</w:t>
      </w:r>
      <w:r w:rsidR="00EC3FB8" w:rsidRPr="00C2548D">
        <w:rPr>
          <w:lang w:val="fr-FR"/>
        </w:rPr>
        <w:t xml:space="preserve"> </w:t>
      </w:r>
      <w:r w:rsidR="001C68DB" w:rsidRPr="00C2548D">
        <w:rPr>
          <w:lang w:val="fr-FR"/>
        </w:rPr>
        <w:t xml:space="preserve">que cette dernière </w:t>
      </w:r>
      <w:r w:rsidR="00EC3FB8" w:rsidRPr="00C2548D">
        <w:rPr>
          <w:lang w:val="fr-FR"/>
        </w:rPr>
        <w:t>se trouvait en état d</w:t>
      </w:r>
      <w:r>
        <w:rPr>
          <w:lang w:val="fr-FR"/>
        </w:rPr>
        <w:t>’</w:t>
      </w:r>
      <w:r w:rsidR="00EC3FB8" w:rsidRPr="00C2548D">
        <w:rPr>
          <w:lang w:val="fr-FR"/>
        </w:rPr>
        <w:t>abandon</w:t>
      </w:r>
      <w:r w:rsidR="001C68DB" w:rsidRPr="00C2548D">
        <w:rPr>
          <w:lang w:val="fr-FR"/>
        </w:rPr>
        <w:t xml:space="preserve">. Il </w:t>
      </w:r>
      <w:r w:rsidR="00FA128C" w:rsidRPr="00C2548D">
        <w:rPr>
          <w:lang w:val="fr-FR"/>
        </w:rPr>
        <w:t>déclara</w:t>
      </w:r>
      <w:r w:rsidR="00E32A30" w:rsidRPr="00C2548D">
        <w:rPr>
          <w:lang w:val="fr-FR"/>
        </w:rPr>
        <w:t xml:space="preserve"> </w:t>
      </w:r>
      <w:r w:rsidR="001C68DB" w:rsidRPr="00C2548D">
        <w:rPr>
          <w:lang w:val="fr-FR"/>
        </w:rPr>
        <w:t>donc celle-ci</w:t>
      </w:r>
      <w:r w:rsidR="00E32A30" w:rsidRPr="00C2548D">
        <w:rPr>
          <w:lang w:val="fr-FR"/>
        </w:rPr>
        <w:t xml:space="preserve"> </w:t>
      </w:r>
      <w:r w:rsidR="00270273" w:rsidRPr="00C2548D">
        <w:rPr>
          <w:lang w:val="fr-FR"/>
        </w:rPr>
        <w:t>adoptable.</w:t>
      </w:r>
    </w:p>
    <w:p w:rsidR="00C36919" w:rsidRPr="00C2548D" w:rsidRDefault="00C2548D" w:rsidP="00C3691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36</w:t>
      </w:r>
      <w:r>
        <w:rPr>
          <w:noProof/>
        </w:rPr>
        <w:fldChar w:fldCharType="end"/>
      </w:r>
      <w:r w:rsidR="00AD1C6E" w:rsidRPr="00C2548D">
        <w:rPr>
          <w:lang w:val="fr-FR"/>
        </w:rPr>
        <w:t>.  </w:t>
      </w:r>
      <w:r w:rsidR="00E10DF2" w:rsidRPr="00C2548D">
        <w:rPr>
          <w:lang w:val="fr-FR"/>
        </w:rPr>
        <w:t xml:space="preserve">Le requérant </w:t>
      </w:r>
      <w:r w:rsidR="00AD1C6E" w:rsidRPr="00C2548D">
        <w:rPr>
          <w:lang w:val="fr-FR"/>
        </w:rPr>
        <w:t>interjeta</w:t>
      </w:r>
      <w:r w:rsidR="00E10DF2" w:rsidRPr="00C2548D">
        <w:rPr>
          <w:lang w:val="fr-FR"/>
        </w:rPr>
        <w:t xml:space="preserve"> appel </w:t>
      </w:r>
      <w:r w:rsidR="00AD1C6E" w:rsidRPr="00C2548D">
        <w:rPr>
          <w:lang w:val="fr-FR"/>
        </w:rPr>
        <w:t>de ce jugement. Il demanda</w:t>
      </w:r>
      <w:r w:rsidR="00C36919" w:rsidRPr="00C2548D">
        <w:rPr>
          <w:lang w:val="fr-FR"/>
        </w:rPr>
        <w:t xml:space="preserve"> à</w:t>
      </w:r>
      <w:r w:rsidR="00AD1C6E" w:rsidRPr="00C2548D">
        <w:rPr>
          <w:lang w:val="fr-FR"/>
        </w:rPr>
        <w:t xml:space="preserve"> </w:t>
      </w:r>
      <w:r w:rsidR="00C36919" w:rsidRPr="00C2548D">
        <w:rPr>
          <w:lang w:val="fr-FR"/>
        </w:rPr>
        <w:t>l</w:t>
      </w:r>
      <w:r>
        <w:rPr>
          <w:lang w:val="fr-FR"/>
        </w:rPr>
        <w:t>’</w:t>
      </w:r>
      <w:r w:rsidR="00C36919" w:rsidRPr="00C2548D">
        <w:rPr>
          <w:lang w:val="fr-FR"/>
        </w:rPr>
        <w:t>instance supérieure :</w:t>
      </w:r>
    </w:p>
    <w:p w:rsidR="00C36919" w:rsidRPr="00C2548D" w:rsidRDefault="00C36919" w:rsidP="00C36919">
      <w:pPr>
        <w:pStyle w:val="ECHRPara"/>
        <w:rPr>
          <w:lang w:val="fr-FR"/>
        </w:rPr>
      </w:pPr>
      <w:r w:rsidRPr="00C2548D">
        <w:rPr>
          <w:lang w:val="fr-FR"/>
        </w:rPr>
        <w:t>–</w:t>
      </w:r>
      <w:r w:rsidR="0010556A" w:rsidRPr="00C2548D">
        <w:rPr>
          <w:lang w:val="fr-FR"/>
        </w:rPr>
        <w:t>  </w:t>
      </w:r>
      <w:r w:rsidR="00AD1C6E" w:rsidRPr="00C2548D">
        <w:rPr>
          <w:lang w:val="fr-FR"/>
        </w:rPr>
        <w:t xml:space="preserve">de </w:t>
      </w:r>
      <w:r w:rsidR="00277A66" w:rsidRPr="00C2548D">
        <w:rPr>
          <w:lang w:val="fr-FR"/>
        </w:rPr>
        <w:t>révoquer</w:t>
      </w:r>
      <w:r w:rsidR="00AD1C6E" w:rsidRPr="00C2548D">
        <w:rPr>
          <w:lang w:val="fr-FR"/>
        </w:rPr>
        <w:t xml:space="preserve"> la déclaration d</w:t>
      </w:r>
      <w:r w:rsidR="00C2548D">
        <w:rPr>
          <w:lang w:val="fr-FR"/>
        </w:rPr>
        <w:t>’</w:t>
      </w:r>
      <w:r w:rsidR="00AD1C6E" w:rsidRPr="00C2548D">
        <w:rPr>
          <w:lang w:val="fr-FR"/>
        </w:rPr>
        <w:t>adoptabilité</w:t>
      </w:r>
      <w:r w:rsidRPr="00C2548D">
        <w:rPr>
          <w:lang w:val="fr-FR"/>
        </w:rPr>
        <w:t> ;</w:t>
      </w:r>
    </w:p>
    <w:p w:rsidR="00C36919" w:rsidRPr="00C2548D" w:rsidRDefault="00C36919" w:rsidP="00C36919">
      <w:pPr>
        <w:pStyle w:val="ECHRPara"/>
        <w:rPr>
          <w:lang w:val="fr-FR"/>
        </w:rPr>
      </w:pPr>
      <w:r w:rsidRPr="00C2548D">
        <w:rPr>
          <w:lang w:val="fr-FR"/>
        </w:rPr>
        <w:t>–</w:t>
      </w:r>
      <w:r w:rsidR="0010556A" w:rsidRPr="00C2548D">
        <w:rPr>
          <w:lang w:val="fr-FR"/>
        </w:rPr>
        <w:t>  </w:t>
      </w:r>
      <w:r w:rsidR="00AD1C6E" w:rsidRPr="00C2548D">
        <w:rPr>
          <w:lang w:val="fr-FR"/>
        </w:rPr>
        <w:t>de confirmer le placement temporaire de l</w:t>
      </w:r>
      <w:r w:rsidR="00C2548D">
        <w:rPr>
          <w:lang w:val="fr-FR"/>
        </w:rPr>
        <w:t>’</w:t>
      </w:r>
      <w:r w:rsidR="00AD1C6E" w:rsidRPr="00C2548D">
        <w:rPr>
          <w:lang w:val="fr-FR"/>
        </w:rPr>
        <w:t>enfant dans la famille d</w:t>
      </w:r>
      <w:r w:rsidR="00C2548D">
        <w:rPr>
          <w:lang w:val="fr-FR"/>
        </w:rPr>
        <w:t>’</w:t>
      </w:r>
      <w:r w:rsidR="00AD1C6E" w:rsidRPr="00C2548D">
        <w:rPr>
          <w:lang w:val="fr-FR"/>
        </w:rPr>
        <w:t xml:space="preserve">accueil, pour le temps nécessaire </w:t>
      </w:r>
      <w:r w:rsidRPr="00C2548D">
        <w:rPr>
          <w:lang w:val="fr-FR"/>
        </w:rPr>
        <w:t>au rétablissement d</w:t>
      </w:r>
      <w:r w:rsidR="00C2548D">
        <w:rPr>
          <w:lang w:val="fr-FR"/>
        </w:rPr>
        <w:t>’</w:t>
      </w:r>
      <w:r w:rsidR="00AD1C6E" w:rsidRPr="00C2548D">
        <w:rPr>
          <w:lang w:val="fr-FR"/>
        </w:rPr>
        <w:t xml:space="preserve">un </w:t>
      </w:r>
      <w:r w:rsidR="00957200" w:rsidRPr="00C2548D">
        <w:rPr>
          <w:lang w:val="fr-FR"/>
        </w:rPr>
        <w:t>équilibre</w:t>
      </w:r>
      <w:r w:rsidR="00AD1C6E" w:rsidRPr="00C2548D">
        <w:rPr>
          <w:lang w:val="fr-FR"/>
        </w:rPr>
        <w:t xml:space="preserve"> entre </w:t>
      </w:r>
      <w:r w:rsidR="00957200" w:rsidRPr="00C2548D">
        <w:rPr>
          <w:lang w:val="fr-FR"/>
        </w:rPr>
        <w:t>lui</w:t>
      </w:r>
      <w:r w:rsidR="00AD1C6E" w:rsidRPr="00C2548D">
        <w:rPr>
          <w:lang w:val="fr-FR"/>
        </w:rPr>
        <w:t xml:space="preserve"> et sa fille</w:t>
      </w:r>
      <w:r w:rsidRPr="00C2548D">
        <w:rPr>
          <w:lang w:val="fr-FR"/>
        </w:rPr>
        <w:t> ;</w:t>
      </w:r>
    </w:p>
    <w:p w:rsidR="00C36919" w:rsidRPr="00C2548D" w:rsidRDefault="00C36919" w:rsidP="00C36919">
      <w:pPr>
        <w:pStyle w:val="ECHRPara"/>
        <w:rPr>
          <w:lang w:val="fr-FR"/>
        </w:rPr>
      </w:pPr>
      <w:r w:rsidRPr="00C2548D">
        <w:rPr>
          <w:lang w:val="fr-FR"/>
        </w:rPr>
        <w:t>–</w:t>
      </w:r>
      <w:r w:rsidR="0010556A" w:rsidRPr="00C2548D">
        <w:rPr>
          <w:lang w:val="fr-FR"/>
        </w:rPr>
        <w:t>  </w:t>
      </w:r>
      <w:r w:rsidR="00AD1C6E" w:rsidRPr="00C2548D">
        <w:rPr>
          <w:lang w:val="fr-FR"/>
        </w:rPr>
        <w:t>d</w:t>
      </w:r>
      <w:r w:rsidR="00C2548D">
        <w:rPr>
          <w:lang w:val="fr-FR"/>
        </w:rPr>
        <w:t>’</w:t>
      </w:r>
      <w:r w:rsidR="00AD1C6E" w:rsidRPr="00C2548D">
        <w:rPr>
          <w:lang w:val="fr-FR"/>
        </w:rPr>
        <w:t xml:space="preserve">ordonner aux services </w:t>
      </w:r>
      <w:r w:rsidR="00957200" w:rsidRPr="00C2548D">
        <w:rPr>
          <w:lang w:val="fr-FR"/>
        </w:rPr>
        <w:t>sociaux</w:t>
      </w:r>
      <w:r w:rsidR="00AD1C6E" w:rsidRPr="00C2548D">
        <w:rPr>
          <w:lang w:val="fr-FR"/>
        </w:rPr>
        <w:t xml:space="preserve"> de mettre en place un projet de soutien pour </w:t>
      </w:r>
      <w:r w:rsidR="00957200" w:rsidRPr="00C2548D">
        <w:rPr>
          <w:lang w:val="fr-FR"/>
        </w:rPr>
        <w:t>qu</w:t>
      </w:r>
      <w:r w:rsidR="00C2548D">
        <w:rPr>
          <w:lang w:val="fr-FR"/>
        </w:rPr>
        <w:t>’</w:t>
      </w:r>
      <w:r w:rsidR="00957200" w:rsidRPr="00C2548D">
        <w:rPr>
          <w:lang w:val="fr-FR"/>
        </w:rPr>
        <w:t>il puisse renouer des liens avec sa fille.</w:t>
      </w:r>
    </w:p>
    <w:p w:rsidR="00E028BE" w:rsidRPr="00C2548D" w:rsidRDefault="00957200" w:rsidP="00957200">
      <w:pPr>
        <w:pStyle w:val="ECHRPara"/>
        <w:rPr>
          <w:lang w:val="fr-FR"/>
        </w:rPr>
      </w:pPr>
      <w:r w:rsidRPr="00C2548D">
        <w:rPr>
          <w:lang w:val="fr-FR"/>
        </w:rPr>
        <w:t>L</w:t>
      </w:r>
      <w:r w:rsidR="003054B3" w:rsidRPr="00C2548D">
        <w:rPr>
          <w:lang w:val="fr-FR"/>
        </w:rPr>
        <w:t>e requérant invoquait la Convention</w:t>
      </w:r>
      <w:r w:rsidR="00C36919" w:rsidRPr="00C2548D">
        <w:rPr>
          <w:lang w:val="fr-FR"/>
        </w:rPr>
        <w:t>, affirmant avoir</w:t>
      </w:r>
      <w:r w:rsidR="003054B3" w:rsidRPr="00C2548D">
        <w:rPr>
          <w:lang w:val="fr-FR"/>
        </w:rPr>
        <w:t xml:space="preserve"> subi une </w:t>
      </w:r>
      <w:r w:rsidRPr="00C2548D">
        <w:rPr>
          <w:lang w:val="fr-FR"/>
        </w:rPr>
        <w:t>ingérence</w:t>
      </w:r>
      <w:r w:rsidR="003054B3" w:rsidRPr="00C2548D">
        <w:rPr>
          <w:lang w:val="fr-FR"/>
        </w:rPr>
        <w:t xml:space="preserve"> </w:t>
      </w:r>
      <w:r w:rsidRPr="00C2548D">
        <w:rPr>
          <w:lang w:val="fr-FR"/>
        </w:rPr>
        <w:t>illégitime</w:t>
      </w:r>
      <w:r w:rsidR="003054B3" w:rsidRPr="00C2548D">
        <w:rPr>
          <w:lang w:val="fr-FR"/>
        </w:rPr>
        <w:t xml:space="preserve"> dans sa vie familiale et </w:t>
      </w:r>
      <w:r w:rsidR="00C36919" w:rsidRPr="00C2548D">
        <w:rPr>
          <w:lang w:val="fr-FR"/>
        </w:rPr>
        <w:t>ne</w:t>
      </w:r>
      <w:r w:rsidR="003054B3" w:rsidRPr="00C2548D">
        <w:rPr>
          <w:lang w:val="fr-FR"/>
        </w:rPr>
        <w:t xml:space="preserve"> </w:t>
      </w:r>
      <w:r w:rsidR="00FD7FA3" w:rsidRPr="00C2548D">
        <w:rPr>
          <w:lang w:val="fr-FR"/>
        </w:rPr>
        <w:t>pas</w:t>
      </w:r>
      <w:r w:rsidR="00C36919" w:rsidRPr="00C2548D">
        <w:rPr>
          <w:lang w:val="fr-FR"/>
        </w:rPr>
        <w:t xml:space="preserve"> avoir</w:t>
      </w:r>
      <w:r w:rsidR="003054B3" w:rsidRPr="00C2548D">
        <w:rPr>
          <w:lang w:val="fr-FR"/>
        </w:rPr>
        <w:t xml:space="preserve"> été aidé par les structures pub</w:t>
      </w:r>
      <w:r w:rsidR="00FD7FA3" w:rsidRPr="00C2548D">
        <w:rPr>
          <w:lang w:val="fr-FR"/>
        </w:rPr>
        <w:t>liques.</w:t>
      </w:r>
    </w:p>
    <w:p w:rsidR="00957200" w:rsidRPr="00C2548D" w:rsidRDefault="00FD7FA3" w:rsidP="00957200">
      <w:pPr>
        <w:pStyle w:val="ECHRPara"/>
        <w:rPr>
          <w:lang w:val="fr-FR"/>
        </w:rPr>
      </w:pPr>
      <w:r w:rsidRPr="00C2548D">
        <w:rPr>
          <w:lang w:val="fr-FR"/>
        </w:rPr>
        <w:t>En outre</w:t>
      </w:r>
      <w:r w:rsidR="00EC3FB8" w:rsidRPr="00C2548D">
        <w:rPr>
          <w:lang w:val="fr-FR"/>
        </w:rPr>
        <w:t>,</w:t>
      </w:r>
      <w:r w:rsidRPr="00C2548D">
        <w:rPr>
          <w:lang w:val="fr-FR"/>
        </w:rPr>
        <w:t xml:space="preserve"> </w:t>
      </w:r>
      <w:r w:rsidR="003054B3" w:rsidRPr="00C2548D">
        <w:rPr>
          <w:lang w:val="fr-FR"/>
        </w:rPr>
        <w:t xml:space="preserve">il </w:t>
      </w:r>
      <w:r w:rsidRPr="00C2548D">
        <w:rPr>
          <w:lang w:val="fr-FR"/>
        </w:rPr>
        <w:t>contestait la situation d</w:t>
      </w:r>
      <w:r w:rsidR="00C2548D">
        <w:rPr>
          <w:lang w:val="fr-FR"/>
        </w:rPr>
        <w:t>’</w:t>
      </w:r>
      <w:r w:rsidRPr="00C2548D">
        <w:rPr>
          <w:lang w:val="fr-FR"/>
        </w:rPr>
        <w:t>abandon de l</w:t>
      </w:r>
      <w:r w:rsidR="00C2548D">
        <w:rPr>
          <w:lang w:val="fr-FR"/>
        </w:rPr>
        <w:t>’</w:t>
      </w:r>
      <w:r w:rsidR="003054B3" w:rsidRPr="00C2548D">
        <w:rPr>
          <w:lang w:val="fr-FR"/>
        </w:rPr>
        <w:t>enfant.</w:t>
      </w:r>
    </w:p>
    <w:p w:rsidR="00957200" w:rsidRPr="00C2548D" w:rsidRDefault="00C2548D" w:rsidP="0095720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37</w:t>
      </w:r>
      <w:r>
        <w:rPr>
          <w:noProof/>
        </w:rPr>
        <w:fldChar w:fldCharType="end"/>
      </w:r>
      <w:r w:rsidR="00957200" w:rsidRPr="00C2548D">
        <w:rPr>
          <w:lang w:val="fr-FR"/>
        </w:rPr>
        <w:t>.  </w:t>
      </w:r>
      <w:r w:rsidR="00D34519" w:rsidRPr="00C2548D">
        <w:rPr>
          <w:lang w:val="fr-FR"/>
        </w:rPr>
        <w:t>Enfin, il faisait valoir qu</w:t>
      </w:r>
      <w:r>
        <w:rPr>
          <w:lang w:val="fr-FR"/>
        </w:rPr>
        <w:t>’</w:t>
      </w:r>
      <w:r w:rsidR="00D34519" w:rsidRPr="00C2548D">
        <w:rPr>
          <w:lang w:val="fr-FR"/>
        </w:rPr>
        <w:t xml:space="preserve">il </w:t>
      </w:r>
      <w:r w:rsidR="00957200" w:rsidRPr="00C2548D">
        <w:rPr>
          <w:lang w:val="fr-FR"/>
        </w:rPr>
        <w:t>avait</w:t>
      </w:r>
      <w:r w:rsidR="00D34519" w:rsidRPr="00C2548D">
        <w:rPr>
          <w:lang w:val="fr-FR"/>
        </w:rPr>
        <w:t xml:space="preserve"> </w:t>
      </w:r>
      <w:r w:rsidR="00957200" w:rsidRPr="00C2548D">
        <w:rPr>
          <w:lang w:val="fr-FR"/>
        </w:rPr>
        <w:t xml:space="preserve">reçu </w:t>
      </w:r>
      <w:r w:rsidR="00980CC2" w:rsidRPr="00C2548D">
        <w:rPr>
          <w:lang w:val="fr-FR"/>
        </w:rPr>
        <w:t xml:space="preserve">de la </w:t>
      </w:r>
      <w:r w:rsidR="00957200" w:rsidRPr="00C2548D">
        <w:rPr>
          <w:lang w:val="fr-FR"/>
        </w:rPr>
        <w:t>cour d</w:t>
      </w:r>
      <w:r>
        <w:rPr>
          <w:lang w:val="fr-FR"/>
        </w:rPr>
        <w:t>’</w:t>
      </w:r>
      <w:r w:rsidR="00957200" w:rsidRPr="00C2548D">
        <w:rPr>
          <w:lang w:val="fr-FR"/>
        </w:rPr>
        <w:t>appel d</w:t>
      </w:r>
      <w:r w:rsidR="00D34519" w:rsidRPr="00C2548D">
        <w:rPr>
          <w:lang w:val="fr-FR"/>
        </w:rPr>
        <w:t>e</w:t>
      </w:r>
      <w:r w:rsidR="00957200" w:rsidRPr="00C2548D">
        <w:rPr>
          <w:lang w:val="fr-FR"/>
        </w:rPr>
        <w:t xml:space="preserve"> Catane</w:t>
      </w:r>
      <w:r w:rsidR="00E028BE" w:rsidRPr="00C2548D">
        <w:rPr>
          <w:lang w:val="fr-FR"/>
        </w:rPr>
        <w:t>,</w:t>
      </w:r>
      <w:r w:rsidR="00EC3FB8" w:rsidRPr="00C2548D">
        <w:rPr>
          <w:lang w:val="fr-FR"/>
        </w:rPr>
        <w:t xml:space="preserve"> </w:t>
      </w:r>
      <w:r w:rsidR="00D34519" w:rsidRPr="00C2548D">
        <w:rPr>
          <w:lang w:val="fr-FR"/>
        </w:rPr>
        <w:t>à titre d</w:t>
      </w:r>
      <w:r>
        <w:rPr>
          <w:lang w:val="fr-FR"/>
        </w:rPr>
        <w:t>’</w:t>
      </w:r>
      <w:r w:rsidR="00D34519" w:rsidRPr="00C2548D">
        <w:rPr>
          <w:lang w:val="fr-FR"/>
        </w:rPr>
        <w:t>indemnisation pour</w:t>
      </w:r>
      <w:r w:rsidR="00E028BE" w:rsidRPr="00C2548D">
        <w:rPr>
          <w:lang w:val="fr-FR"/>
        </w:rPr>
        <w:t xml:space="preserve"> </w:t>
      </w:r>
      <w:r w:rsidR="009358E4" w:rsidRPr="00C2548D">
        <w:rPr>
          <w:lang w:val="fr-FR"/>
        </w:rPr>
        <w:t>« </w:t>
      </w:r>
      <w:r w:rsidR="00E028BE" w:rsidRPr="00C2548D">
        <w:rPr>
          <w:lang w:val="fr-FR"/>
        </w:rPr>
        <w:t>détention</w:t>
      </w:r>
      <w:r w:rsidR="00D34519" w:rsidRPr="00C2548D">
        <w:rPr>
          <w:lang w:val="fr-FR"/>
        </w:rPr>
        <w:t xml:space="preserve"> injuste</w:t>
      </w:r>
      <w:r w:rsidR="003B0682" w:rsidRPr="00C2548D">
        <w:rPr>
          <w:lang w:val="fr-FR"/>
        </w:rPr>
        <w:t> »</w:t>
      </w:r>
      <w:r w:rsidR="00D34519" w:rsidRPr="00C2548D">
        <w:rPr>
          <w:lang w:val="fr-FR"/>
        </w:rPr>
        <w:t xml:space="preserve"> une somme de 193 608,322</w:t>
      </w:r>
      <w:r w:rsidR="00B92E1D" w:rsidRPr="00C2548D">
        <w:rPr>
          <w:lang w:val="fr-FR"/>
        </w:rPr>
        <w:t> </w:t>
      </w:r>
      <w:r w:rsidR="00D34519" w:rsidRPr="00C2548D">
        <w:rPr>
          <w:lang w:val="fr-FR"/>
        </w:rPr>
        <w:t>EUR</w:t>
      </w:r>
      <w:r w:rsidR="00E028BE" w:rsidRPr="00C2548D">
        <w:rPr>
          <w:lang w:val="fr-FR"/>
        </w:rPr>
        <w:t>,</w:t>
      </w:r>
      <w:r w:rsidR="00D34519" w:rsidRPr="00C2548D">
        <w:rPr>
          <w:lang w:val="fr-FR"/>
        </w:rPr>
        <w:t xml:space="preserve"> et qu</w:t>
      </w:r>
      <w:r>
        <w:rPr>
          <w:lang w:val="fr-FR"/>
        </w:rPr>
        <w:t>’</w:t>
      </w:r>
      <w:r w:rsidR="00957200" w:rsidRPr="00C2548D">
        <w:rPr>
          <w:lang w:val="fr-FR"/>
        </w:rPr>
        <w:t>il</w:t>
      </w:r>
      <w:r w:rsidR="00D34519" w:rsidRPr="00C2548D">
        <w:rPr>
          <w:lang w:val="fr-FR"/>
        </w:rPr>
        <w:t xml:space="preserve"> </w:t>
      </w:r>
      <w:r w:rsidR="00957200" w:rsidRPr="00C2548D">
        <w:rPr>
          <w:lang w:val="fr-FR"/>
        </w:rPr>
        <w:t>a</w:t>
      </w:r>
      <w:r w:rsidR="00D34519" w:rsidRPr="00C2548D">
        <w:rPr>
          <w:lang w:val="fr-FR"/>
        </w:rPr>
        <w:t>vait trouvé un travail.</w:t>
      </w:r>
    </w:p>
    <w:p w:rsidR="001C68DB" w:rsidRPr="00C2548D" w:rsidRDefault="00C2548D" w:rsidP="0095720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38</w:t>
      </w:r>
      <w:r>
        <w:rPr>
          <w:noProof/>
        </w:rPr>
        <w:fldChar w:fldCharType="end"/>
      </w:r>
      <w:r w:rsidR="00957200" w:rsidRPr="00C2548D">
        <w:rPr>
          <w:lang w:val="fr-FR"/>
        </w:rPr>
        <w:t>.  </w:t>
      </w:r>
      <w:r w:rsidR="003054B3" w:rsidRPr="00C2548D">
        <w:rPr>
          <w:lang w:val="fr-FR"/>
        </w:rPr>
        <w:t>Par un arrêt du</w:t>
      </w:r>
      <w:r w:rsidR="002316EE" w:rsidRPr="00C2548D">
        <w:rPr>
          <w:lang w:val="fr-FR"/>
        </w:rPr>
        <w:t xml:space="preserve"> 14 novembre 2014</w:t>
      </w:r>
      <w:r w:rsidR="004357F1" w:rsidRPr="00C2548D">
        <w:rPr>
          <w:lang w:val="fr-FR"/>
        </w:rPr>
        <w:t xml:space="preserve">, la cour </w:t>
      </w:r>
      <w:r w:rsidR="00B7551E" w:rsidRPr="00C2548D">
        <w:rPr>
          <w:lang w:val="fr-FR"/>
        </w:rPr>
        <w:t>d</w:t>
      </w:r>
      <w:r>
        <w:rPr>
          <w:lang w:val="fr-FR"/>
        </w:rPr>
        <w:t>’</w:t>
      </w:r>
      <w:r w:rsidR="00B7551E" w:rsidRPr="00C2548D">
        <w:rPr>
          <w:lang w:val="fr-FR"/>
        </w:rPr>
        <w:t xml:space="preserve">appel </w:t>
      </w:r>
      <w:r w:rsidR="004357F1" w:rsidRPr="00C2548D">
        <w:rPr>
          <w:lang w:val="fr-FR"/>
        </w:rPr>
        <w:t>rejeta le recours du requérant et confirma l</w:t>
      </w:r>
      <w:r>
        <w:rPr>
          <w:lang w:val="fr-FR"/>
        </w:rPr>
        <w:t>’</w:t>
      </w:r>
      <w:r w:rsidR="00FD7FA3" w:rsidRPr="00C2548D">
        <w:rPr>
          <w:lang w:val="fr-FR"/>
        </w:rPr>
        <w:t>adoptabilité</w:t>
      </w:r>
      <w:r w:rsidR="004357F1" w:rsidRPr="00C2548D">
        <w:rPr>
          <w:lang w:val="fr-FR"/>
        </w:rPr>
        <w:t xml:space="preserve"> d</w:t>
      </w:r>
      <w:r w:rsidR="00957200" w:rsidRPr="00C2548D">
        <w:rPr>
          <w:lang w:val="fr-FR"/>
        </w:rPr>
        <w:t>e</w:t>
      </w:r>
      <w:r w:rsidR="004357F1" w:rsidRPr="00C2548D">
        <w:rPr>
          <w:lang w:val="fr-FR"/>
        </w:rPr>
        <w:t xml:space="preserve"> </w:t>
      </w:r>
      <w:r w:rsidR="00FD7FA3" w:rsidRPr="00C2548D">
        <w:rPr>
          <w:lang w:val="fr-FR"/>
        </w:rPr>
        <w:t>l</w:t>
      </w:r>
      <w:r>
        <w:rPr>
          <w:lang w:val="fr-FR"/>
        </w:rPr>
        <w:t>’</w:t>
      </w:r>
      <w:r w:rsidR="00FD7FA3" w:rsidRPr="00C2548D">
        <w:rPr>
          <w:lang w:val="fr-FR"/>
        </w:rPr>
        <w:t>enfant</w:t>
      </w:r>
      <w:r w:rsidR="004357F1" w:rsidRPr="00C2548D">
        <w:rPr>
          <w:lang w:val="fr-FR"/>
        </w:rPr>
        <w:t>.</w:t>
      </w:r>
    </w:p>
    <w:p w:rsidR="00B7551E" w:rsidRPr="00C2548D" w:rsidRDefault="001C68DB" w:rsidP="00957200">
      <w:pPr>
        <w:pStyle w:val="ECHRPara"/>
        <w:rPr>
          <w:lang w:val="fr-FR"/>
        </w:rPr>
      </w:pPr>
      <w:r w:rsidRPr="00C2548D">
        <w:rPr>
          <w:lang w:val="fr-FR"/>
        </w:rPr>
        <w:t xml:space="preserve">Dans ses motifs, </w:t>
      </w:r>
      <w:r w:rsidR="00B7551E" w:rsidRPr="00C2548D">
        <w:rPr>
          <w:lang w:val="fr-FR"/>
        </w:rPr>
        <w:t xml:space="preserve">la cour </w:t>
      </w:r>
      <w:r w:rsidR="00961BBA" w:rsidRPr="00C2548D">
        <w:rPr>
          <w:lang w:val="fr-FR"/>
        </w:rPr>
        <w:t>jugea</w:t>
      </w:r>
      <w:r w:rsidR="00B7551E" w:rsidRPr="00C2548D">
        <w:rPr>
          <w:lang w:val="fr-FR"/>
        </w:rPr>
        <w:t xml:space="preserve"> </w:t>
      </w:r>
      <w:r w:rsidR="004357F1" w:rsidRPr="00C2548D">
        <w:rPr>
          <w:lang w:val="fr-FR"/>
        </w:rPr>
        <w:t>que le tribunal avait motivé</w:t>
      </w:r>
      <w:r w:rsidR="00961BBA" w:rsidRPr="00C2548D">
        <w:rPr>
          <w:lang w:val="fr-FR"/>
        </w:rPr>
        <w:t xml:space="preserve"> sa décision</w:t>
      </w:r>
      <w:r w:rsidR="004357F1" w:rsidRPr="00C2548D">
        <w:rPr>
          <w:lang w:val="fr-FR"/>
        </w:rPr>
        <w:t xml:space="preserve"> de façon logique et correcte </w:t>
      </w:r>
      <w:r w:rsidR="00961BBA" w:rsidRPr="00C2548D">
        <w:rPr>
          <w:lang w:val="fr-FR"/>
        </w:rPr>
        <w:t xml:space="preserve">sur </w:t>
      </w:r>
      <w:r w:rsidR="00FD7FA3" w:rsidRPr="00C2548D">
        <w:rPr>
          <w:lang w:val="fr-FR"/>
        </w:rPr>
        <w:t>tous les points controversés</w:t>
      </w:r>
      <w:r w:rsidR="00961BBA" w:rsidRPr="00C2548D">
        <w:rPr>
          <w:lang w:val="fr-FR"/>
        </w:rPr>
        <w:t>, en énonçant notamment :</w:t>
      </w:r>
    </w:p>
    <w:p w:rsidR="00B7551E" w:rsidRPr="00C2548D" w:rsidRDefault="00B7551E" w:rsidP="00957200">
      <w:pPr>
        <w:pStyle w:val="ECHRPara"/>
        <w:rPr>
          <w:lang w:val="fr-FR"/>
        </w:rPr>
      </w:pPr>
      <w:r w:rsidRPr="00C2548D">
        <w:rPr>
          <w:lang w:val="fr-FR"/>
        </w:rPr>
        <w:t>–</w:t>
      </w:r>
      <w:r w:rsidR="0010556A" w:rsidRPr="00C2548D">
        <w:rPr>
          <w:lang w:val="fr-FR"/>
        </w:rPr>
        <w:t>  </w:t>
      </w:r>
      <w:r w:rsidR="00961BBA" w:rsidRPr="00C2548D">
        <w:rPr>
          <w:lang w:val="fr-FR"/>
        </w:rPr>
        <w:t>que</w:t>
      </w:r>
      <w:r w:rsidR="004357F1" w:rsidRPr="00C2548D">
        <w:rPr>
          <w:lang w:val="fr-FR"/>
        </w:rPr>
        <w:t>, bien avant l</w:t>
      </w:r>
      <w:r w:rsidR="00C2548D">
        <w:rPr>
          <w:lang w:val="fr-FR"/>
        </w:rPr>
        <w:t>’</w:t>
      </w:r>
      <w:r w:rsidR="004357F1" w:rsidRPr="00C2548D">
        <w:rPr>
          <w:lang w:val="fr-FR"/>
        </w:rPr>
        <w:t>arrestation du requérant</w:t>
      </w:r>
      <w:r w:rsidRPr="00C2548D">
        <w:rPr>
          <w:lang w:val="fr-FR"/>
        </w:rPr>
        <w:t>,</w:t>
      </w:r>
      <w:r w:rsidR="004357F1" w:rsidRPr="00C2548D">
        <w:rPr>
          <w:lang w:val="fr-FR"/>
        </w:rPr>
        <w:t xml:space="preserve"> il y avait eu des problèmes entre </w:t>
      </w:r>
      <w:r w:rsidRPr="00C2548D">
        <w:rPr>
          <w:lang w:val="fr-FR"/>
        </w:rPr>
        <w:t>lui</w:t>
      </w:r>
      <w:r w:rsidR="00957200" w:rsidRPr="00C2548D">
        <w:rPr>
          <w:lang w:val="fr-FR"/>
        </w:rPr>
        <w:t xml:space="preserve"> et sa fille</w:t>
      </w:r>
      <w:r w:rsidR="004357F1" w:rsidRPr="00C2548D">
        <w:rPr>
          <w:lang w:val="fr-FR"/>
        </w:rPr>
        <w:t xml:space="preserve">, comme les services </w:t>
      </w:r>
      <w:r w:rsidR="00FD7FA3" w:rsidRPr="00C2548D">
        <w:rPr>
          <w:lang w:val="fr-FR"/>
        </w:rPr>
        <w:t>sociaux</w:t>
      </w:r>
      <w:r w:rsidR="004357F1" w:rsidRPr="00C2548D">
        <w:rPr>
          <w:lang w:val="fr-FR"/>
        </w:rPr>
        <w:t xml:space="preserve"> </w:t>
      </w:r>
      <w:r w:rsidRPr="00C2548D">
        <w:rPr>
          <w:lang w:val="fr-FR"/>
        </w:rPr>
        <w:t>l</w:t>
      </w:r>
      <w:r w:rsidR="00C2548D">
        <w:rPr>
          <w:lang w:val="fr-FR"/>
        </w:rPr>
        <w:t>’</w:t>
      </w:r>
      <w:r w:rsidR="004357F1" w:rsidRPr="00C2548D">
        <w:rPr>
          <w:lang w:val="fr-FR"/>
        </w:rPr>
        <w:t>avaient souligné</w:t>
      </w:r>
      <w:r w:rsidRPr="00C2548D">
        <w:rPr>
          <w:lang w:val="fr-FR"/>
        </w:rPr>
        <w:t> ;</w:t>
      </w:r>
    </w:p>
    <w:p w:rsidR="00961BBA" w:rsidRPr="00C2548D" w:rsidRDefault="00B7551E" w:rsidP="00957200">
      <w:pPr>
        <w:pStyle w:val="ECHRPara"/>
        <w:rPr>
          <w:lang w:val="fr-FR"/>
        </w:rPr>
      </w:pPr>
      <w:r w:rsidRPr="00C2548D">
        <w:rPr>
          <w:lang w:val="fr-FR"/>
        </w:rPr>
        <w:t>–</w:t>
      </w:r>
      <w:r w:rsidR="0010556A" w:rsidRPr="00C2548D">
        <w:rPr>
          <w:lang w:val="fr-FR"/>
        </w:rPr>
        <w:t>  </w:t>
      </w:r>
      <w:r w:rsidRPr="00C2548D">
        <w:rPr>
          <w:lang w:val="fr-FR"/>
        </w:rPr>
        <w:t>que le</w:t>
      </w:r>
      <w:r w:rsidR="004357F1" w:rsidRPr="00C2548D">
        <w:rPr>
          <w:lang w:val="fr-FR"/>
        </w:rPr>
        <w:t xml:space="preserve"> requérant ne montrait pas un attachement particulier </w:t>
      </w:r>
      <w:r w:rsidR="00FD7FA3" w:rsidRPr="00C2548D">
        <w:rPr>
          <w:lang w:val="fr-FR"/>
        </w:rPr>
        <w:t>envers</w:t>
      </w:r>
      <w:r w:rsidR="004357F1" w:rsidRPr="00C2548D">
        <w:rPr>
          <w:lang w:val="fr-FR"/>
        </w:rPr>
        <w:t xml:space="preserve"> sa fille, et</w:t>
      </w:r>
      <w:r w:rsidRPr="00C2548D">
        <w:rPr>
          <w:lang w:val="fr-FR"/>
        </w:rPr>
        <w:t xml:space="preserve"> qu</w:t>
      </w:r>
      <w:r w:rsidR="00C2548D">
        <w:rPr>
          <w:lang w:val="fr-FR"/>
        </w:rPr>
        <w:t>’</w:t>
      </w:r>
      <w:r w:rsidR="00277A66" w:rsidRPr="00C2548D">
        <w:rPr>
          <w:lang w:val="fr-FR"/>
        </w:rPr>
        <w:t>il</w:t>
      </w:r>
      <w:r w:rsidRPr="00C2548D">
        <w:rPr>
          <w:lang w:val="fr-FR"/>
        </w:rPr>
        <w:t xml:space="preserve">s avaient des </w:t>
      </w:r>
      <w:r w:rsidR="004357F1" w:rsidRPr="00C2548D">
        <w:rPr>
          <w:lang w:val="fr-FR"/>
        </w:rPr>
        <w:t>difficulté</w:t>
      </w:r>
      <w:r w:rsidRPr="00C2548D">
        <w:rPr>
          <w:lang w:val="fr-FR"/>
        </w:rPr>
        <w:t>s</w:t>
      </w:r>
      <w:r w:rsidR="004357F1" w:rsidRPr="00C2548D">
        <w:rPr>
          <w:lang w:val="fr-FR"/>
        </w:rPr>
        <w:t xml:space="preserve"> </w:t>
      </w:r>
      <w:r w:rsidR="00FD7FA3" w:rsidRPr="00C2548D">
        <w:rPr>
          <w:lang w:val="fr-FR"/>
        </w:rPr>
        <w:t>relationnelle</w:t>
      </w:r>
      <w:r w:rsidRPr="00C2548D">
        <w:rPr>
          <w:lang w:val="fr-FR"/>
        </w:rPr>
        <w:t>s</w:t>
      </w:r>
      <w:r w:rsidR="004357F1" w:rsidRPr="00C2548D">
        <w:rPr>
          <w:lang w:val="fr-FR"/>
        </w:rPr>
        <w:t xml:space="preserve"> entre </w:t>
      </w:r>
      <w:r w:rsidRPr="00C2548D">
        <w:rPr>
          <w:lang w:val="fr-FR"/>
        </w:rPr>
        <w:t>eux</w:t>
      </w:r>
      <w:r w:rsidR="00961BBA" w:rsidRPr="00C2548D">
        <w:rPr>
          <w:lang w:val="fr-FR"/>
        </w:rPr>
        <w:t> ;</w:t>
      </w:r>
    </w:p>
    <w:p w:rsidR="003054B3" w:rsidRPr="00C2548D" w:rsidRDefault="00961BBA" w:rsidP="00957200">
      <w:pPr>
        <w:pStyle w:val="ECHRPara"/>
        <w:rPr>
          <w:lang w:val="fr-FR"/>
        </w:rPr>
      </w:pPr>
      <w:r w:rsidRPr="00C2548D">
        <w:rPr>
          <w:lang w:val="fr-FR"/>
        </w:rPr>
        <w:t>–</w:t>
      </w:r>
      <w:r w:rsidR="0010556A" w:rsidRPr="00C2548D">
        <w:rPr>
          <w:lang w:val="fr-FR"/>
        </w:rPr>
        <w:t>  </w:t>
      </w:r>
      <w:r w:rsidRPr="00C2548D">
        <w:rPr>
          <w:lang w:val="fr-FR"/>
        </w:rPr>
        <w:t>que</w:t>
      </w:r>
      <w:r w:rsidR="004357F1" w:rsidRPr="00C2548D">
        <w:rPr>
          <w:lang w:val="fr-FR"/>
        </w:rPr>
        <w:t xml:space="preserve"> le requérant avait montré </w:t>
      </w:r>
      <w:r w:rsidR="009A690C" w:rsidRPr="00C2548D">
        <w:rPr>
          <w:lang w:val="fr-FR"/>
        </w:rPr>
        <w:t xml:space="preserve">un profil </w:t>
      </w:r>
      <w:r w:rsidR="00D73835" w:rsidRPr="00C2548D">
        <w:rPr>
          <w:lang w:val="fr-FR"/>
        </w:rPr>
        <w:t xml:space="preserve">autoritaire </w:t>
      </w:r>
      <w:r w:rsidR="00FC0BCD" w:rsidRPr="00C2548D">
        <w:rPr>
          <w:lang w:val="fr-FR"/>
        </w:rPr>
        <w:t>(</w:t>
      </w:r>
      <w:r w:rsidR="003B0682" w:rsidRPr="00C2548D">
        <w:rPr>
          <w:lang w:val="fr-FR"/>
        </w:rPr>
        <w:t>littéralement :</w:t>
      </w:r>
      <w:r w:rsidR="00FC0BCD" w:rsidRPr="00C2548D">
        <w:rPr>
          <w:lang w:val="fr-FR"/>
        </w:rPr>
        <w:t xml:space="preserve"> de</w:t>
      </w:r>
      <w:r w:rsidR="003B0682" w:rsidRPr="00C2548D">
        <w:rPr>
          <w:lang w:val="fr-FR"/>
        </w:rPr>
        <w:t xml:space="preserve"> </w:t>
      </w:r>
      <w:r w:rsidR="00FC0BCD" w:rsidRPr="00C2548D">
        <w:rPr>
          <w:lang w:val="fr-FR"/>
        </w:rPr>
        <w:t>« </w:t>
      </w:r>
      <w:r w:rsidR="003B0682" w:rsidRPr="00C2548D">
        <w:rPr>
          <w:lang w:val="fr-FR"/>
        </w:rPr>
        <w:t>père-patron</w:t>
      </w:r>
      <w:r w:rsidR="00FC0BCD" w:rsidRPr="00C2548D">
        <w:rPr>
          <w:lang w:val="fr-FR"/>
        </w:rPr>
        <w:t xml:space="preserve"> » </w:t>
      </w:r>
      <w:r w:rsidR="00FC0BCD" w:rsidRPr="00C2548D">
        <w:rPr>
          <w:i/>
          <w:lang w:val="fr-FR"/>
        </w:rPr>
        <w:t>(padre padrone</w:t>
      </w:r>
      <w:r w:rsidR="00277A66" w:rsidRPr="00C2548D">
        <w:rPr>
          <w:lang w:val="fr-FR"/>
        </w:rPr>
        <w:t>)</w:t>
      </w:r>
      <w:r w:rsidR="00FC0BCD" w:rsidRPr="00C2548D">
        <w:rPr>
          <w:lang w:val="fr-FR"/>
        </w:rPr>
        <w:t>)</w:t>
      </w:r>
      <w:r w:rsidR="009A690C" w:rsidRPr="00C2548D">
        <w:rPr>
          <w:lang w:val="fr-FR"/>
        </w:rPr>
        <w:t>,</w:t>
      </w:r>
      <w:r w:rsidR="00FC0BCD" w:rsidRPr="00C2548D">
        <w:rPr>
          <w:lang w:val="fr-FR"/>
        </w:rPr>
        <w:t xml:space="preserve"> </w:t>
      </w:r>
      <w:r w:rsidR="009A690C" w:rsidRPr="00C2548D">
        <w:rPr>
          <w:lang w:val="fr-FR"/>
        </w:rPr>
        <w:t>en ce qu</w:t>
      </w:r>
      <w:r w:rsidR="00C2548D">
        <w:rPr>
          <w:lang w:val="fr-FR"/>
        </w:rPr>
        <w:t>’</w:t>
      </w:r>
      <w:r w:rsidR="004357F1" w:rsidRPr="00C2548D">
        <w:rPr>
          <w:lang w:val="fr-FR"/>
        </w:rPr>
        <w:t xml:space="preserve">il </w:t>
      </w:r>
      <w:r w:rsidR="00277A66" w:rsidRPr="00C2548D">
        <w:rPr>
          <w:lang w:val="fr-FR"/>
        </w:rPr>
        <w:t>a</w:t>
      </w:r>
      <w:r w:rsidR="004357F1" w:rsidRPr="00C2548D">
        <w:rPr>
          <w:lang w:val="fr-FR"/>
        </w:rPr>
        <w:t xml:space="preserve">vait </w:t>
      </w:r>
      <w:r w:rsidRPr="00C2548D">
        <w:rPr>
          <w:lang w:val="fr-FR"/>
        </w:rPr>
        <w:t xml:space="preserve">déclaré avec insistance </w:t>
      </w:r>
      <w:r w:rsidR="004357F1" w:rsidRPr="00C2548D">
        <w:rPr>
          <w:lang w:val="fr-FR"/>
        </w:rPr>
        <w:t xml:space="preserve">à </w:t>
      </w:r>
      <w:r w:rsidR="00FD7FA3" w:rsidRPr="00C2548D">
        <w:rPr>
          <w:lang w:val="fr-FR"/>
        </w:rPr>
        <w:t>plusieurs</w:t>
      </w:r>
      <w:r w:rsidR="004357F1" w:rsidRPr="00C2548D">
        <w:rPr>
          <w:lang w:val="fr-FR"/>
        </w:rPr>
        <w:t xml:space="preserve"> reprises que les enfants </w:t>
      </w:r>
      <w:r w:rsidR="00FD7FA3" w:rsidRPr="00C2548D">
        <w:rPr>
          <w:lang w:val="fr-FR"/>
        </w:rPr>
        <w:t>appartiennent</w:t>
      </w:r>
      <w:r w:rsidR="00277A66" w:rsidRPr="00C2548D">
        <w:rPr>
          <w:lang w:val="fr-FR"/>
        </w:rPr>
        <w:t xml:space="preserve"> aux parents</w:t>
      </w:r>
      <w:r w:rsidRPr="00C2548D">
        <w:rPr>
          <w:lang w:val="fr-FR"/>
        </w:rPr>
        <w:t>,</w:t>
      </w:r>
      <w:r w:rsidR="00277A66" w:rsidRPr="00C2548D">
        <w:rPr>
          <w:lang w:val="fr-FR"/>
        </w:rPr>
        <w:t xml:space="preserve"> </w:t>
      </w:r>
      <w:r w:rsidR="009A690C" w:rsidRPr="00C2548D">
        <w:rPr>
          <w:lang w:val="fr-FR"/>
        </w:rPr>
        <w:t>ce qui témoignait d</w:t>
      </w:r>
      <w:r w:rsidR="00C2548D">
        <w:rPr>
          <w:lang w:val="fr-FR"/>
        </w:rPr>
        <w:t>’</w:t>
      </w:r>
      <w:r w:rsidR="00277A66" w:rsidRPr="00C2548D">
        <w:rPr>
          <w:lang w:val="fr-FR"/>
        </w:rPr>
        <w:t xml:space="preserve">une attitude </w:t>
      </w:r>
      <w:r w:rsidRPr="00C2548D">
        <w:rPr>
          <w:lang w:val="fr-FR"/>
        </w:rPr>
        <w:t>non coopérative</w:t>
      </w:r>
      <w:r w:rsidR="00277A66" w:rsidRPr="00C2548D">
        <w:rPr>
          <w:lang w:val="fr-FR"/>
        </w:rPr>
        <w:t xml:space="preserve"> </w:t>
      </w:r>
      <w:r w:rsidR="009A690C" w:rsidRPr="00C2548D">
        <w:rPr>
          <w:lang w:val="fr-FR"/>
        </w:rPr>
        <w:t xml:space="preserve">de sa part </w:t>
      </w:r>
      <w:r w:rsidR="00277A66" w:rsidRPr="00C2548D">
        <w:rPr>
          <w:lang w:val="fr-FR"/>
        </w:rPr>
        <w:t>envers les services sociaux.</w:t>
      </w:r>
    </w:p>
    <w:p w:rsidR="00983AD4"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39</w:t>
      </w:r>
      <w:r>
        <w:rPr>
          <w:noProof/>
        </w:rPr>
        <w:fldChar w:fldCharType="end"/>
      </w:r>
      <w:r w:rsidR="00957200" w:rsidRPr="00C2548D">
        <w:rPr>
          <w:lang w:val="fr-FR"/>
        </w:rPr>
        <w:t>.  </w:t>
      </w:r>
      <w:r w:rsidR="004357F1" w:rsidRPr="00C2548D">
        <w:rPr>
          <w:lang w:val="fr-FR"/>
        </w:rPr>
        <w:t xml:space="preserve">La </w:t>
      </w:r>
      <w:r w:rsidR="00FD7FA3" w:rsidRPr="00C2548D">
        <w:rPr>
          <w:lang w:val="fr-FR"/>
        </w:rPr>
        <w:t>cour</w:t>
      </w:r>
      <w:r w:rsidR="004357F1" w:rsidRPr="00C2548D">
        <w:rPr>
          <w:lang w:val="fr-FR"/>
        </w:rPr>
        <w:t xml:space="preserve"> reprocha </w:t>
      </w:r>
      <w:r w:rsidR="00FD7FA3" w:rsidRPr="00C2548D">
        <w:rPr>
          <w:lang w:val="fr-FR"/>
        </w:rPr>
        <w:t>également</w:t>
      </w:r>
      <w:r w:rsidR="004357F1" w:rsidRPr="00C2548D">
        <w:rPr>
          <w:lang w:val="fr-FR"/>
        </w:rPr>
        <w:t xml:space="preserve"> </w:t>
      </w:r>
      <w:r w:rsidR="00FD7FA3" w:rsidRPr="00C2548D">
        <w:rPr>
          <w:lang w:val="fr-FR"/>
        </w:rPr>
        <w:t>au requérant</w:t>
      </w:r>
      <w:r w:rsidR="004357F1" w:rsidRPr="00C2548D">
        <w:rPr>
          <w:lang w:val="fr-FR"/>
        </w:rPr>
        <w:t xml:space="preserve"> de ne pas avoir donné des </w:t>
      </w:r>
      <w:r w:rsidR="00FD7FA3" w:rsidRPr="00C2548D">
        <w:rPr>
          <w:lang w:val="fr-FR"/>
        </w:rPr>
        <w:t>renseignements</w:t>
      </w:r>
      <w:r w:rsidR="004357F1" w:rsidRPr="00C2548D">
        <w:rPr>
          <w:lang w:val="fr-FR"/>
        </w:rPr>
        <w:t xml:space="preserve"> </w:t>
      </w:r>
      <w:r w:rsidR="00FD7FA3" w:rsidRPr="00C2548D">
        <w:rPr>
          <w:lang w:val="fr-FR"/>
        </w:rPr>
        <w:t>précis</w:t>
      </w:r>
      <w:r w:rsidR="004357F1" w:rsidRPr="00C2548D">
        <w:rPr>
          <w:lang w:val="fr-FR"/>
        </w:rPr>
        <w:t xml:space="preserve"> sur la date de naissance de l</w:t>
      </w:r>
      <w:r>
        <w:rPr>
          <w:lang w:val="fr-FR"/>
        </w:rPr>
        <w:t>’</w:t>
      </w:r>
      <w:r w:rsidR="004357F1" w:rsidRPr="00C2548D">
        <w:rPr>
          <w:lang w:val="fr-FR"/>
        </w:rPr>
        <w:t>enfant et sur l</w:t>
      </w:r>
      <w:r>
        <w:rPr>
          <w:lang w:val="fr-FR"/>
        </w:rPr>
        <w:t>’</w:t>
      </w:r>
      <w:r w:rsidR="004357F1" w:rsidRPr="00C2548D">
        <w:rPr>
          <w:lang w:val="fr-FR"/>
        </w:rPr>
        <w:t>identité de la mère</w:t>
      </w:r>
      <w:r w:rsidR="00957200" w:rsidRPr="00C2548D">
        <w:rPr>
          <w:lang w:val="fr-FR"/>
        </w:rPr>
        <w:t>.</w:t>
      </w:r>
    </w:p>
    <w:p w:rsidR="00277A66" w:rsidRPr="00C2548D" w:rsidRDefault="00983AD4" w:rsidP="00D67316">
      <w:pPr>
        <w:pStyle w:val="ECHRPara"/>
        <w:rPr>
          <w:lang w:val="fr-FR"/>
        </w:rPr>
      </w:pPr>
      <w:r w:rsidRPr="00C2548D">
        <w:rPr>
          <w:lang w:val="fr-FR"/>
        </w:rPr>
        <w:t>Pour la cour, il convenait par ailleurs d</w:t>
      </w:r>
      <w:r w:rsidR="00C2548D">
        <w:rPr>
          <w:lang w:val="fr-FR"/>
        </w:rPr>
        <w:t>’</w:t>
      </w:r>
      <w:r w:rsidRPr="00C2548D">
        <w:rPr>
          <w:lang w:val="fr-FR"/>
        </w:rPr>
        <w:t>écarter l</w:t>
      </w:r>
      <w:r w:rsidR="00C2548D">
        <w:rPr>
          <w:lang w:val="fr-FR"/>
        </w:rPr>
        <w:t>’</w:t>
      </w:r>
      <w:r w:rsidRPr="00C2548D">
        <w:rPr>
          <w:lang w:val="fr-FR"/>
        </w:rPr>
        <w:t xml:space="preserve">argument selon lequel </w:t>
      </w:r>
      <w:r w:rsidR="00961BBA" w:rsidRPr="00C2548D">
        <w:rPr>
          <w:lang w:val="fr-FR"/>
        </w:rPr>
        <w:t xml:space="preserve">la décision attaquée </w:t>
      </w:r>
      <w:r w:rsidRPr="00C2548D">
        <w:rPr>
          <w:lang w:val="fr-FR"/>
        </w:rPr>
        <w:t>créait</w:t>
      </w:r>
      <w:r w:rsidR="00D34519" w:rsidRPr="00C2548D">
        <w:rPr>
          <w:lang w:val="fr-FR"/>
        </w:rPr>
        <w:t xml:space="preserve"> une </w:t>
      </w:r>
      <w:r w:rsidR="00957200" w:rsidRPr="00C2548D">
        <w:rPr>
          <w:lang w:val="fr-FR"/>
        </w:rPr>
        <w:t>coupure</w:t>
      </w:r>
      <w:r w:rsidR="00D34519" w:rsidRPr="00C2548D">
        <w:rPr>
          <w:lang w:val="fr-FR"/>
        </w:rPr>
        <w:t xml:space="preserve"> du lien entre l</w:t>
      </w:r>
      <w:r w:rsidR="00C2548D">
        <w:rPr>
          <w:lang w:val="fr-FR"/>
        </w:rPr>
        <w:t>’</w:t>
      </w:r>
      <w:r w:rsidR="00D34519" w:rsidRPr="00C2548D">
        <w:rPr>
          <w:lang w:val="fr-FR"/>
        </w:rPr>
        <w:t>enfant et la famille d</w:t>
      </w:r>
      <w:r w:rsidR="00C2548D">
        <w:rPr>
          <w:lang w:val="fr-FR"/>
        </w:rPr>
        <w:t>’</w:t>
      </w:r>
      <w:r w:rsidR="00957200" w:rsidRPr="00C2548D">
        <w:rPr>
          <w:lang w:val="fr-FR"/>
        </w:rPr>
        <w:t>origine</w:t>
      </w:r>
      <w:r w:rsidRPr="00C2548D">
        <w:rPr>
          <w:lang w:val="fr-FR"/>
        </w:rPr>
        <w:t xml:space="preserve"> : selon elle, </w:t>
      </w:r>
      <w:r w:rsidR="00FA128C" w:rsidRPr="00C2548D">
        <w:rPr>
          <w:lang w:val="fr-FR"/>
        </w:rPr>
        <w:t xml:space="preserve">le lien qui </w:t>
      </w:r>
      <w:r w:rsidR="00EC3FB8" w:rsidRPr="00C2548D">
        <w:rPr>
          <w:lang w:val="fr-FR"/>
        </w:rPr>
        <w:t xml:space="preserve">les </w:t>
      </w:r>
      <w:r w:rsidR="00FA128C" w:rsidRPr="00C2548D">
        <w:rPr>
          <w:lang w:val="fr-FR"/>
        </w:rPr>
        <w:t xml:space="preserve">unissait était </w:t>
      </w:r>
      <w:r w:rsidR="000B0DAD" w:rsidRPr="00C2548D">
        <w:rPr>
          <w:lang w:val="fr-FR"/>
        </w:rPr>
        <w:t xml:space="preserve">fragile, nocif </w:t>
      </w:r>
      <w:r w:rsidR="00FA128C" w:rsidRPr="00C2548D">
        <w:rPr>
          <w:lang w:val="fr-FR"/>
        </w:rPr>
        <w:t>et douloureux pour l</w:t>
      </w:r>
      <w:r w:rsidR="00C2548D">
        <w:rPr>
          <w:lang w:val="fr-FR"/>
        </w:rPr>
        <w:t>’</w:t>
      </w:r>
      <w:r w:rsidR="00EC3FB8" w:rsidRPr="00C2548D">
        <w:rPr>
          <w:lang w:val="fr-FR"/>
        </w:rPr>
        <w:t>enfant</w:t>
      </w:r>
      <w:r w:rsidR="00961BBA" w:rsidRPr="00C2548D">
        <w:rPr>
          <w:lang w:val="fr-FR"/>
        </w:rPr>
        <w:t>,</w:t>
      </w:r>
      <w:r w:rsidR="00EC3FB8" w:rsidRPr="00C2548D">
        <w:rPr>
          <w:lang w:val="fr-FR"/>
        </w:rPr>
        <w:t xml:space="preserve"> comme les services sociaux </w:t>
      </w:r>
      <w:r w:rsidR="00BB2800" w:rsidRPr="00C2548D">
        <w:rPr>
          <w:lang w:val="fr-FR"/>
        </w:rPr>
        <w:t>l</w:t>
      </w:r>
      <w:r w:rsidR="00C2548D">
        <w:rPr>
          <w:lang w:val="fr-FR"/>
        </w:rPr>
        <w:t>’</w:t>
      </w:r>
      <w:r w:rsidR="00EC3FB8" w:rsidRPr="00C2548D">
        <w:rPr>
          <w:lang w:val="fr-FR"/>
        </w:rPr>
        <w:t>avaient souligné dans leurs rapports déposés en 2009.</w:t>
      </w:r>
    </w:p>
    <w:p w:rsidR="006C1038"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40</w:t>
      </w:r>
      <w:r>
        <w:rPr>
          <w:noProof/>
        </w:rPr>
        <w:fldChar w:fldCharType="end"/>
      </w:r>
      <w:r w:rsidR="00957200" w:rsidRPr="00C2548D">
        <w:rPr>
          <w:lang w:val="fr-FR"/>
        </w:rPr>
        <w:t>.  </w:t>
      </w:r>
      <w:r w:rsidR="006C1038" w:rsidRPr="00C2548D">
        <w:rPr>
          <w:lang w:val="fr-FR"/>
        </w:rPr>
        <w:t>Se</w:t>
      </w:r>
      <w:r w:rsidR="00D34519" w:rsidRPr="00C2548D">
        <w:rPr>
          <w:lang w:val="fr-FR"/>
        </w:rPr>
        <w:t xml:space="preserve"> </w:t>
      </w:r>
      <w:r w:rsidR="00957200" w:rsidRPr="00C2548D">
        <w:rPr>
          <w:lang w:val="fr-FR"/>
        </w:rPr>
        <w:t>référa</w:t>
      </w:r>
      <w:r w:rsidR="006C1038" w:rsidRPr="00C2548D">
        <w:rPr>
          <w:lang w:val="fr-FR"/>
        </w:rPr>
        <w:t>nt</w:t>
      </w:r>
      <w:r w:rsidR="00D34519" w:rsidRPr="00C2548D">
        <w:rPr>
          <w:lang w:val="fr-FR"/>
        </w:rPr>
        <w:t xml:space="preserve"> à la seule rencontre qui </w:t>
      </w:r>
      <w:r w:rsidR="006C1038" w:rsidRPr="00C2548D">
        <w:rPr>
          <w:lang w:val="fr-FR"/>
        </w:rPr>
        <w:t>avait eu lieu</w:t>
      </w:r>
      <w:r w:rsidR="00D34519" w:rsidRPr="00C2548D">
        <w:rPr>
          <w:lang w:val="fr-FR"/>
        </w:rPr>
        <w:t xml:space="preserve"> entre le requérant et </w:t>
      </w:r>
      <w:r w:rsidR="006C1038" w:rsidRPr="00C2548D">
        <w:rPr>
          <w:lang w:val="fr-FR"/>
        </w:rPr>
        <w:t xml:space="preserve">A. </w:t>
      </w:r>
      <w:r w:rsidR="000A0CBE" w:rsidRPr="00C2548D">
        <w:rPr>
          <w:lang w:val="fr-FR"/>
        </w:rPr>
        <w:t xml:space="preserve">et aux rapports </w:t>
      </w:r>
      <w:r w:rsidR="00957200" w:rsidRPr="00C2548D">
        <w:rPr>
          <w:lang w:val="fr-FR"/>
        </w:rPr>
        <w:t>déposés</w:t>
      </w:r>
      <w:r w:rsidR="000A0CBE" w:rsidRPr="00C2548D">
        <w:rPr>
          <w:lang w:val="fr-FR"/>
        </w:rPr>
        <w:t xml:space="preserve"> par les </w:t>
      </w:r>
      <w:r w:rsidR="00957200" w:rsidRPr="00C2548D">
        <w:rPr>
          <w:lang w:val="fr-FR"/>
        </w:rPr>
        <w:t>services</w:t>
      </w:r>
      <w:r w:rsidR="000A0CBE" w:rsidRPr="00C2548D">
        <w:rPr>
          <w:lang w:val="fr-FR"/>
        </w:rPr>
        <w:t xml:space="preserve"> </w:t>
      </w:r>
      <w:r w:rsidR="00957200" w:rsidRPr="00C2548D">
        <w:rPr>
          <w:lang w:val="fr-FR"/>
        </w:rPr>
        <w:t>sociaux</w:t>
      </w:r>
      <w:r w:rsidR="006C1038" w:rsidRPr="00C2548D">
        <w:rPr>
          <w:lang w:val="fr-FR"/>
        </w:rPr>
        <w:t>,</w:t>
      </w:r>
      <w:r w:rsidR="000A0CBE" w:rsidRPr="00C2548D">
        <w:rPr>
          <w:lang w:val="fr-FR"/>
        </w:rPr>
        <w:t xml:space="preserve"> qui </w:t>
      </w:r>
      <w:r w:rsidR="006C1038" w:rsidRPr="00C2548D">
        <w:rPr>
          <w:lang w:val="fr-FR"/>
        </w:rPr>
        <w:t>faisaient état d</w:t>
      </w:r>
      <w:r>
        <w:rPr>
          <w:lang w:val="fr-FR"/>
        </w:rPr>
        <w:t>’</w:t>
      </w:r>
      <w:r w:rsidR="000A0CBE" w:rsidRPr="00C2548D">
        <w:rPr>
          <w:lang w:val="fr-FR"/>
        </w:rPr>
        <w:t xml:space="preserve">une situation </w:t>
      </w:r>
      <w:r w:rsidR="00957200" w:rsidRPr="00C2548D">
        <w:rPr>
          <w:lang w:val="fr-FR"/>
        </w:rPr>
        <w:t>psychologique</w:t>
      </w:r>
      <w:r w:rsidR="000A0CBE" w:rsidRPr="00C2548D">
        <w:rPr>
          <w:lang w:val="fr-FR"/>
        </w:rPr>
        <w:t xml:space="preserve"> difficile pour l</w:t>
      </w:r>
      <w:r>
        <w:rPr>
          <w:lang w:val="fr-FR"/>
        </w:rPr>
        <w:t>’</w:t>
      </w:r>
      <w:r w:rsidR="000A0CBE" w:rsidRPr="00C2548D">
        <w:rPr>
          <w:lang w:val="fr-FR"/>
        </w:rPr>
        <w:t xml:space="preserve">enfant </w:t>
      </w:r>
      <w:r w:rsidR="006767B6" w:rsidRPr="00C2548D">
        <w:rPr>
          <w:lang w:val="fr-FR"/>
        </w:rPr>
        <w:t>à la suite de</w:t>
      </w:r>
      <w:r w:rsidR="000A0CBE" w:rsidRPr="00C2548D">
        <w:rPr>
          <w:lang w:val="fr-FR"/>
        </w:rPr>
        <w:t xml:space="preserve"> </w:t>
      </w:r>
      <w:r w:rsidR="00957200" w:rsidRPr="00C2548D">
        <w:rPr>
          <w:lang w:val="fr-FR"/>
        </w:rPr>
        <w:t>ladite</w:t>
      </w:r>
      <w:r w:rsidR="00980CC2" w:rsidRPr="00C2548D">
        <w:rPr>
          <w:lang w:val="fr-FR"/>
        </w:rPr>
        <w:t xml:space="preserve"> rencontre</w:t>
      </w:r>
      <w:r w:rsidR="006C1038" w:rsidRPr="00C2548D">
        <w:rPr>
          <w:lang w:val="fr-FR"/>
        </w:rPr>
        <w:t>, la cour considéra :</w:t>
      </w:r>
    </w:p>
    <w:p w:rsidR="006C1038" w:rsidRPr="00C2548D" w:rsidRDefault="006C1038" w:rsidP="00D67316">
      <w:pPr>
        <w:pStyle w:val="ECHRPara"/>
        <w:rPr>
          <w:lang w:val="fr-FR"/>
        </w:rPr>
      </w:pPr>
      <w:r w:rsidRPr="00C2548D">
        <w:rPr>
          <w:lang w:val="fr-FR"/>
        </w:rPr>
        <w:t>–</w:t>
      </w:r>
      <w:r w:rsidR="0010556A" w:rsidRPr="00C2548D">
        <w:rPr>
          <w:lang w:val="fr-FR"/>
        </w:rPr>
        <w:t>  </w:t>
      </w:r>
      <w:r w:rsidRPr="00C2548D">
        <w:rPr>
          <w:lang w:val="fr-FR"/>
        </w:rPr>
        <w:t>que</w:t>
      </w:r>
      <w:r w:rsidR="000A0CBE" w:rsidRPr="00C2548D">
        <w:rPr>
          <w:lang w:val="fr-FR"/>
        </w:rPr>
        <w:t xml:space="preserve"> la déclaration d</w:t>
      </w:r>
      <w:r w:rsidR="00C2548D">
        <w:rPr>
          <w:lang w:val="fr-FR"/>
        </w:rPr>
        <w:t>’</w:t>
      </w:r>
      <w:r w:rsidR="000A0CBE" w:rsidRPr="00C2548D">
        <w:rPr>
          <w:lang w:val="fr-FR"/>
        </w:rPr>
        <w:t>adoptabilité n</w:t>
      </w:r>
      <w:r w:rsidR="00C2548D">
        <w:rPr>
          <w:lang w:val="fr-FR"/>
        </w:rPr>
        <w:t>’</w:t>
      </w:r>
      <w:r w:rsidR="000A0CBE" w:rsidRPr="00C2548D">
        <w:rPr>
          <w:lang w:val="fr-FR"/>
        </w:rPr>
        <w:t xml:space="preserve">avait </w:t>
      </w:r>
      <w:r w:rsidR="008C7378" w:rsidRPr="00C2548D">
        <w:rPr>
          <w:lang w:val="fr-FR"/>
        </w:rPr>
        <w:t>rompu</w:t>
      </w:r>
      <w:r w:rsidR="000A0CBE" w:rsidRPr="00C2548D">
        <w:rPr>
          <w:lang w:val="fr-FR"/>
        </w:rPr>
        <w:t xml:space="preserve"> aucun lien familial</w:t>
      </w:r>
      <w:r w:rsidR="00284260" w:rsidRPr="00C2548D">
        <w:rPr>
          <w:lang w:val="fr-FR"/>
        </w:rPr>
        <w:t>,</w:t>
      </w:r>
      <w:r w:rsidR="000A0CBE" w:rsidRPr="00C2548D">
        <w:rPr>
          <w:lang w:val="fr-FR"/>
        </w:rPr>
        <w:t xml:space="preserve"> </w:t>
      </w:r>
      <w:r w:rsidR="00284260" w:rsidRPr="00C2548D">
        <w:rPr>
          <w:lang w:val="fr-FR"/>
        </w:rPr>
        <w:t>puisque</w:t>
      </w:r>
      <w:r w:rsidR="000A0CBE" w:rsidRPr="00C2548D">
        <w:rPr>
          <w:lang w:val="fr-FR"/>
        </w:rPr>
        <w:t xml:space="preserve"> l</w:t>
      </w:r>
      <w:r w:rsidR="00C2548D">
        <w:rPr>
          <w:lang w:val="fr-FR"/>
        </w:rPr>
        <w:t>’</w:t>
      </w:r>
      <w:r w:rsidR="000A0CBE" w:rsidRPr="00C2548D">
        <w:rPr>
          <w:lang w:val="fr-FR"/>
        </w:rPr>
        <w:t>enfant</w:t>
      </w:r>
      <w:r w:rsidR="00284260" w:rsidRPr="00C2548D">
        <w:rPr>
          <w:lang w:val="fr-FR"/>
        </w:rPr>
        <w:t>, interrogée par les services sociaux,</w:t>
      </w:r>
      <w:r w:rsidR="000A0CBE" w:rsidRPr="00C2548D">
        <w:rPr>
          <w:lang w:val="fr-FR"/>
        </w:rPr>
        <w:t xml:space="preserve"> </w:t>
      </w:r>
      <w:r w:rsidR="0016117E" w:rsidRPr="00C2548D">
        <w:rPr>
          <w:lang w:val="fr-FR"/>
        </w:rPr>
        <w:t>a</w:t>
      </w:r>
      <w:r w:rsidR="000A0CBE" w:rsidRPr="00C2548D">
        <w:rPr>
          <w:lang w:val="fr-FR"/>
        </w:rPr>
        <w:t xml:space="preserve">vait refusé de se </w:t>
      </w:r>
      <w:r w:rsidR="0016117E" w:rsidRPr="00C2548D">
        <w:rPr>
          <w:lang w:val="fr-FR"/>
        </w:rPr>
        <w:t>référer</w:t>
      </w:r>
      <w:r w:rsidR="000A0CBE" w:rsidRPr="00C2548D">
        <w:rPr>
          <w:lang w:val="fr-FR"/>
        </w:rPr>
        <w:t xml:space="preserve"> à son père biologique et à son </w:t>
      </w:r>
      <w:r w:rsidR="0016117E" w:rsidRPr="00C2548D">
        <w:rPr>
          <w:lang w:val="fr-FR"/>
        </w:rPr>
        <w:t>expérience passée</w:t>
      </w:r>
      <w:r w:rsidRPr="00C2548D">
        <w:rPr>
          <w:lang w:val="fr-FR"/>
        </w:rPr>
        <w:t> ;</w:t>
      </w:r>
    </w:p>
    <w:p w:rsidR="004357F1" w:rsidRPr="00C2548D" w:rsidRDefault="006C1038" w:rsidP="00D67316">
      <w:pPr>
        <w:pStyle w:val="ECHRPara"/>
        <w:rPr>
          <w:lang w:val="fr-FR"/>
        </w:rPr>
      </w:pPr>
      <w:r w:rsidRPr="00C2548D">
        <w:rPr>
          <w:lang w:val="fr-FR"/>
        </w:rPr>
        <w:t>–</w:t>
      </w:r>
      <w:r w:rsidR="0010556A" w:rsidRPr="00C2548D">
        <w:rPr>
          <w:lang w:val="fr-FR"/>
        </w:rPr>
        <w:t>  </w:t>
      </w:r>
      <w:r w:rsidRPr="00C2548D">
        <w:rPr>
          <w:lang w:val="fr-FR"/>
        </w:rPr>
        <w:t>que l</w:t>
      </w:r>
      <w:r w:rsidR="00C2548D">
        <w:rPr>
          <w:lang w:val="fr-FR"/>
        </w:rPr>
        <w:t>’</w:t>
      </w:r>
      <w:r w:rsidR="0016117E" w:rsidRPr="00C2548D">
        <w:rPr>
          <w:lang w:val="fr-FR"/>
        </w:rPr>
        <w:t>e</w:t>
      </w:r>
      <w:r w:rsidR="000A0CBE" w:rsidRPr="00C2548D">
        <w:rPr>
          <w:lang w:val="fr-FR"/>
        </w:rPr>
        <w:t xml:space="preserve">nfant se </w:t>
      </w:r>
      <w:r w:rsidR="0016117E" w:rsidRPr="00C2548D">
        <w:rPr>
          <w:lang w:val="fr-FR"/>
        </w:rPr>
        <w:t>trouvait</w:t>
      </w:r>
      <w:r w:rsidR="000A0CBE" w:rsidRPr="00C2548D">
        <w:rPr>
          <w:lang w:val="fr-FR"/>
        </w:rPr>
        <w:t xml:space="preserve"> donc dans un état d</w:t>
      </w:r>
      <w:r w:rsidR="00C2548D">
        <w:rPr>
          <w:lang w:val="fr-FR"/>
        </w:rPr>
        <w:t>’</w:t>
      </w:r>
      <w:r w:rsidR="000A0CBE" w:rsidRPr="00C2548D">
        <w:rPr>
          <w:lang w:val="fr-FR"/>
        </w:rPr>
        <w:t xml:space="preserve">abandon, le père ne pouvant </w:t>
      </w:r>
      <w:r w:rsidR="0016117E" w:rsidRPr="00C2548D">
        <w:rPr>
          <w:lang w:val="fr-FR"/>
        </w:rPr>
        <w:t>assurer</w:t>
      </w:r>
      <w:r w:rsidR="000A0CBE" w:rsidRPr="00C2548D">
        <w:rPr>
          <w:lang w:val="fr-FR"/>
        </w:rPr>
        <w:t xml:space="preserve"> les soins nécessaires</w:t>
      </w:r>
      <w:r w:rsidR="0016117E" w:rsidRPr="00C2548D">
        <w:rPr>
          <w:lang w:val="fr-FR"/>
        </w:rPr>
        <w:t>.</w:t>
      </w:r>
    </w:p>
    <w:p w:rsidR="007A739D" w:rsidRPr="00C2548D" w:rsidRDefault="00C2548D" w:rsidP="00020B4B">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41</w:t>
      </w:r>
      <w:r>
        <w:rPr>
          <w:noProof/>
        </w:rPr>
        <w:fldChar w:fldCharType="end"/>
      </w:r>
      <w:r w:rsidR="0016117E" w:rsidRPr="00C2548D">
        <w:rPr>
          <w:lang w:val="fr-FR"/>
        </w:rPr>
        <w:t>.  </w:t>
      </w:r>
      <w:r w:rsidR="007A739D" w:rsidRPr="00C2548D">
        <w:rPr>
          <w:lang w:val="fr-FR"/>
        </w:rPr>
        <w:t>Au sujet de</w:t>
      </w:r>
      <w:r w:rsidR="000A0CBE" w:rsidRPr="00C2548D">
        <w:rPr>
          <w:lang w:val="fr-FR"/>
        </w:rPr>
        <w:t xml:space="preserve"> l</w:t>
      </w:r>
      <w:r>
        <w:rPr>
          <w:lang w:val="fr-FR"/>
        </w:rPr>
        <w:t>’</w:t>
      </w:r>
      <w:r w:rsidR="000A0CBE" w:rsidRPr="00C2548D">
        <w:rPr>
          <w:lang w:val="fr-FR"/>
        </w:rPr>
        <w:t>article 14 de la Convention</w:t>
      </w:r>
      <w:r w:rsidR="007A739D" w:rsidRPr="00C2548D">
        <w:rPr>
          <w:lang w:val="fr-FR"/>
        </w:rPr>
        <w:t>,</w:t>
      </w:r>
      <w:r w:rsidR="000A0CBE" w:rsidRPr="00C2548D">
        <w:rPr>
          <w:lang w:val="fr-FR"/>
        </w:rPr>
        <w:t xml:space="preserve"> soulevé par le requérant, la cour estima</w:t>
      </w:r>
      <w:r w:rsidR="007A739D" w:rsidRPr="00C2548D">
        <w:rPr>
          <w:lang w:val="fr-FR"/>
        </w:rPr>
        <w:t> :</w:t>
      </w:r>
    </w:p>
    <w:p w:rsidR="007A739D" w:rsidRPr="00C2548D" w:rsidRDefault="007A739D" w:rsidP="00020B4B">
      <w:pPr>
        <w:pStyle w:val="ECHRPara"/>
        <w:rPr>
          <w:lang w:val="fr-FR"/>
        </w:rPr>
      </w:pPr>
      <w:r w:rsidRPr="00C2548D">
        <w:rPr>
          <w:lang w:val="fr-FR"/>
        </w:rPr>
        <w:t>–</w:t>
      </w:r>
      <w:r w:rsidR="0010556A" w:rsidRPr="00C2548D">
        <w:rPr>
          <w:lang w:val="fr-FR"/>
        </w:rPr>
        <w:t>  </w:t>
      </w:r>
      <w:r w:rsidRPr="00C2548D">
        <w:rPr>
          <w:lang w:val="fr-FR"/>
        </w:rPr>
        <w:t>qu</w:t>
      </w:r>
      <w:r w:rsidR="00C2548D">
        <w:rPr>
          <w:lang w:val="fr-FR"/>
        </w:rPr>
        <w:t>’</w:t>
      </w:r>
      <w:r w:rsidRPr="00C2548D">
        <w:rPr>
          <w:lang w:val="fr-FR"/>
        </w:rPr>
        <w:t>il n</w:t>
      </w:r>
      <w:r w:rsidR="00C2548D">
        <w:rPr>
          <w:lang w:val="fr-FR"/>
        </w:rPr>
        <w:t>’</w:t>
      </w:r>
      <w:r w:rsidRPr="00C2548D">
        <w:rPr>
          <w:lang w:val="fr-FR"/>
        </w:rPr>
        <w:t>était pas possible pour les</w:t>
      </w:r>
      <w:r w:rsidR="000A0CBE" w:rsidRPr="00C2548D">
        <w:rPr>
          <w:lang w:val="fr-FR"/>
        </w:rPr>
        <w:t xml:space="preserve"> services </w:t>
      </w:r>
      <w:r w:rsidR="00CB341B" w:rsidRPr="00C2548D">
        <w:rPr>
          <w:lang w:val="fr-FR"/>
        </w:rPr>
        <w:t xml:space="preserve">sociaux </w:t>
      </w:r>
      <w:r w:rsidRPr="00C2548D">
        <w:rPr>
          <w:lang w:val="fr-FR"/>
        </w:rPr>
        <w:t>de</w:t>
      </w:r>
      <w:r w:rsidR="0016117E" w:rsidRPr="00C2548D">
        <w:rPr>
          <w:lang w:val="fr-FR"/>
        </w:rPr>
        <w:t xml:space="preserve"> mettre en œuvre</w:t>
      </w:r>
      <w:r w:rsidR="000A0CBE" w:rsidRPr="00C2548D">
        <w:rPr>
          <w:lang w:val="fr-FR"/>
        </w:rPr>
        <w:t xml:space="preserve"> </w:t>
      </w:r>
      <w:r w:rsidRPr="00C2548D">
        <w:rPr>
          <w:lang w:val="fr-FR"/>
        </w:rPr>
        <w:t xml:space="preserve">un </w:t>
      </w:r>
      <w:r w:rsidR="000A0CBE" w:rsidRPr="00C2548D">
        <w:rPr>
          <w:lang w:val="fr-FR"/>
        </w:rPr>
        <w:t xml:space="preserve">projet de </w:t>
      </w:r>
      <w:r w:rsidR="0016117E" w:rsidRPr="00C2548D">
        <w:rPr>
          <w:lang w:val="fr-FR"/>
        </w:rPr>
        <w:t>rapprochement</w:t>
      </w:r>
      <w:r w:rsidR="00980CC2" w:rsidRPr="00C2548D">
        <w:rPr>
          <w:lang w:val="fr-FR"/>
        </w:rPr>
        <w:t xml:space="preserve"> </w:t>
      </w:r>
      <w:r w:rsidRPr="00C2548D">
        <w:rPr>
          <w:lang w:val="fr-FR"/>
        </w:rPr>
        <w:t xml:space="preserve">tel que sollicité par lui, </w:t>
      </w:r>
      <w:r w:rsidR="003E5DFC" w:rsidRPr="00C2548D">
        <w:rPr>
          <w:lang w:val="fr-FR"/>
        </w:rPr>
        <w:t xml:space="preserve">tant </w:t>
      </w:r>
      <w:r w:rsidR="00980CC2" w:rsidRPr="00C2548D">
        <w:rPr>
          <w:lang w:val="fr-FR"/>
        </w:rPr>
        <w:t xml:space="preserve">en raison </w:t>
      </w:r>
      <w:r w:rsidR="003E5DFC" w:rsidRPr="00C2548D">
        <w:rPr>
          <w:lang w:val="fr-FR"/>
        </w:rPr>
        <w:t xml:space="preserve">de son indisponibilité que </w:t>
      </w:r>
      <w:r w:rsidR="000A0CBE" w:rsidRPr="00C2548D">
        <w:rPr>
          <w:lang w:val="fr-FR"/>
        </w:rPr>
        <w:t xml:space="preserve">du </w:t>
      </w:r>
      <w:r w:rsidR="0016117E" w:rsidRPr="00C2548D">
        <w:rPr>
          <w:lang w:val="fr-FR"/>
        </w:rPr>
        <w:t>vécu</w:t>
      </w:r>
      <w:r w:rsidR="000A0CBE" w:rsidRPr="00C2548D">
        <w:rPr>
          <w:lang w:val="fr-FR"/>
        </w:rPr>
        <w:t xml:space="preserve"> de l</w:t>
      </w:r>
      <w:r w:rsidR="00C2548D">
        <w:rPr>
          <w:lang w:val="fr-FR"/>
        </w:rPr>
        <w:t>’</w:t>
      </w:r>
      <w:r w:rsidR="000A0CBE" w:rsidRPr="00C2548D">
        <w:rPr>
          <w:lang w:val="fr-FR"/>
        </w:rPr>
        <w:t>enfant</w:t>
      </w:r>
      <w:r w:rsidR="003E5DFC" w:rsidRPr="00C2548D">
        <w:rPr>
          <w:lang w:val="fr-FR"/>
        </w:rPr>
        <w:t> </w:t>
      </w:r>
      <w:r w:rsidRPr="00C2548D">
        <w:rPr>
          <w:lang w:val="fr-FR"/>
        </w:rPr>
        <w:t>;</w:t>
      </w:r>
    </w:p>
    <w:p w:rsidR="00F34780" w:rsidRPr="00C2548D" w:rsidRDefault="007A739D" w:rsidP="00020B4B">
      <w:pPr>
        <w:pStyle w:val="ECHRPara"/>
        <w:rPr>
          <w:lang w:val="fr-FR"/>
        </w:rPr>
      </w:pPr>
      <w:r w:rsidRPr="00C2548D">
        <w:rPr>
          <w:lang w:val="fr-FR"/>
        </w:rPr>
        <w:t>–</w:t>
      </w:r>
      <w:r w:rsidR="0010556A" w:rsidRPr="00C2548D">
        <w:rPr>
          <w:lang w:val="fr-FR"/>
        </w:rPr>
        <w:t>  </w:t>
      </w:r>
      <w:r w:rsidR="00020B4B" w:rsidRPr="00C2548D">
        <w:rPr>
          <w:lang w:val="fr-FR"/>
        </w:rPr>
        <w:t xml:space="preserve">que </w:t>
      </w:r>
      <w:r w:rsidR="00277A66" w:rsidRPr="00C2548D">
        <w:rPr>
          <w:lang w:val="fr-FR"/>
        </w:rPr>
        <w:t>bien que</w:t>
      </w:r>
      <w:r w:rsidR="00020B4B" w:rsidRPr="00C2548D">
        <w:rPr>
          <w:lang w:val="fr-FR"/>
        </w:rPr>
        <w:t xml:space="preserve"> </w:t>
      </w:r>
      <w:r w:rsidR="000A0CBE" w:rsidRPr="00C2548D">
        <w:rPr>
          <w:lang w:val="fr-FR"/>
        </w:rPr>
        <w:t xml:space="preserve">le requérant </w:t>
      </w:r>
      <w:r w:rsidRPr="00C2548D">
        <w:rPr>
          <w:lang w:val="fr-FR"/>
        </w:rPr>
        <w:t xml:space="preserve">eût </w:t>
      </w:r>
      <w:r w:rsidR="000A0CBE" w:rsidRPr="00C2548D">
        <w:rPr>
          <w:lang w:val="fr-FR"/>
        </w:rPr>
        <w:t xml:space="preserve">un travail stable et </w:t>
      </w:r>
      <w:r w:rsidR="00020B4B" w:rsidRPr="00C2548D">
        <w:rPr>
          <w:lang w:val="fr-FR"/>
        </w:rPr>
        <w:t>un logement</w:t>
      </w:r>
      <w:r w:rsidR="000A0CBE" w:rsidRPr="00C2548D">
        <w:rPr>
          <w:lang w:val="fr-FR"/>
        </w:rPr>
        <w:t xml:space="preserve">, </w:t>
      </w:r>
      <w:r w:rsidR="00020B4B" w:rsidRPr="00C2548D">
        <w:rPr>
          <w:lang w:val="fr-FR"/>
        </w:rPr>
        <w:t>le lien familial faisait toujours défaut</w:t>
      </w:r>
      <w:r w:rsidR="00F34780" w:rsidRPr="00C2548D">
        <w:rPr>
          <w:lang w:val="fr-FR"/>
        </w:rPr>
        <w:t xml:space="preserve">, compte tenu de ce que </w:t>
      </w:r>
      <w:r w:rsidR="003E5DFC" w:rsidRPr="00C2548D">
        <w:rPr>
          <w:lang w:val="fr-FR"/>
        </w:rPr>
        <w:t>l</w:t>
      </w:r>
      <w:r w:rsidR="00C2548D">
        <w:rPr>
          <w:lang w:val="fr-FR"/>
        </w:rPr>
        <w:t>’</w:t>
      </w:r>
      <w:r w:rsidR="003E5DFC" w:rsidRPr="00C2548D">
        <w:rPr>
          <w:lang w:val="fr-FR"/>
        </w:rPr>
        <w:t>état</w:t>
      </w:r>
      <w:r w:rsidR="00F34780" w:rsidRPr="00C2548D">
        <w:rPr>
          <w:lang w:val="fr-FR"/>
        </w:rPr>
        <w:t xml:space="preserve"> </w:t>
      </w:r>
      <w:r w:rsidR="00020B4B" w:rsidRPr="00C2548D">
        <w:rPr>
          <w:lang w:val="fr-FR"/>
        </w:rPr>
        <w:t>psychique d</w:t>
      </w:r>
      <w:r w:rsidR="00F34780" w:rsidRPr="00C2548D">
        <w:rPr>
          <w:lang w:val="fr-FR"/>
        </w:rPr>
        <w:t>e</w:t>
      </w:r>
      <w:r w:rsidR="00020B4B" w:rsidRPr="00C2548D">
        <w:rPr>
          <w:lang w:val="fr-FR"/>
        </w:rPr>
        <w:t xml:space="preserve"> l</w:t>
      </w:r>
      <w:r w:rsidR="00C2548D">
        <w:rPr>
          <w:lang w:val="fr-FR"/>
        </w:rPr>
        <w:t>’</w:t>
      </w:r>
      <w:r w:rsidR="00020B4B" w:rsidRPr="00C2548D">
        <w:rPr>
          <w:lang w:val="fr-FR"/>
        </w:rPr>
        <w:t>enfant</w:t>
      </w:r>
      <w:r w:rsidR="00F34780" w:rsidRPr="00C2548D">
        <w:rPr>
          <w:lang w:val="fr-FR"/>
        </w:rPr>
        <w:t xml:space="preserve"> </w:t>
      </w:r>
      <w:r w:rsidR="003E5DFC" w:rsidRPr="00C2548D">
        <w:rPr>
          <w:lang w:val="fr-FR"/>
        </w:rPr>
        <w:t xml:space="preserve">avait </w:t>
      </w:r>
      <w:r w:rsidR="00F34780" w:rsidRPr="00C2548D">
        <w:rPr>
          <w:lang w:val="fr-FR"/>
        </w:rPr>
        <w:t>empir</w:t>
      </w:r>
      <w:r w:rsidR="003E5DFC" w:rsidRPr="00C2548D">
        <w:rPr>
          <w:lang w:val="fr-FR"/>
        </w:rPr>
        <w:t>é à</w:t>
      </w:r>
      <w:r w:rsidR="00F34780" w:rsidRPr="00C2548D">
        <w:rPr>
          <w:lang w:val="fr-FR"/>
        </w:rPr>
        <w:t xml:space="preserve"> chaque </w:t>
      </w:r>
      <w:r w:rsidR="00020B4B" w:rsidRPr="00C2548D">
        <w:rPr>
          <w:lang w:val="fr-FR"/>
        </w:rPr>
        <w:t>fois qu</w:t>
      </w:r>
      <w:r w:rsidR="00C2548D">
        <w:rPr>
          <w:lang w:val="fr-FR"/>
        </w:rPr>
        <w:t>’</w:t>
      </w:r>
      <w:r w:rsidR="00020B4B" w:rsidRPr="00C2548D">
        <w:rPr>
          <w:lang w:val="fr-FR"/>
        </w:rPr>
        <w:t xml:space="preserve">on </w:t>
      </w:r>
      <w:r w:rsidR="003E5DFC" w:rsidRPr="00C2548D">
        <w:rPr>
          <w:lang w:val="fr-FR"/>
        </w:rPr>
        <w:t xml:space="preserve">lui </w:t>
      </w:r>
      <w:r w:rsidR="00020B4B" w:rsidRPr="00C2548D">
        <w:rPr>
          <w:lang w:val="fr-FR"/>
        </w:rPr>
        <w:t>parlait d</w:t>
      </w:r>
      <w:r w:rsidR="00F34780" w:rsidRPr="00C2548D">
        <w:rPr>
          <w:lang w:val="fr-FR"/>
        </w:rPr>
        <w:t>e</w:t>
      </w:r>
      <w:r w:rsidR="00020B4B" w:rsidRPr="00C2548D">
        <w:rPr>
          <w:lang w:val="fr-FR"/>
        </w:rPr>
        <w:t xml:space="preserve"> </w:t>
      </w:r>
      <w:r w:rsidR="00277A66" w:rsidRPr="00C2548D">
        <w:rPr>
          <w:lang w:val="fr-FR"/>
        </w:rPr>
        <w:t>son père biologique</w:t>
      </w:r>
      <w:r w:rsidR="003E5DFC" w:rsidRPr="00C2548D">
        <w:rPr>
          <w:lang w:val="fr-FR"/>
        </w:rPr>
        <w:t>,</w:t>
      </w:r>
      <w:r w:rsidR="00F34780" w:rsidRPr="00C2548D">
        <w:rPr>
          <w:lang w:val="fr-FR"/>
        </w:rPr>
        <w:t xml:space="preserve"> </w:t>
      </w:r>
      <w:r w:rsidR="003E5DFC" w:rsidRPr="00C2548D">
        <w:rPr>
          <w:lang w:val="fr-FR"/>
        </w:rPr>
        <w:t>ainsi qu</w:t>
      </w:r>
      <w:r w:rsidR="00C2548D">
        <w:rPr>
          <w:lang w:val="fr-FR"/>
        </w:rPr>
        <w:t>’</w:t>
      </w:r>
      <w:r w:rsidR="001B5EBB" w:rsidRPr="00C2548D">
        <w:rPr>
          <w:lang w:val="fr-FR"/>
        </w:rPr>
        <w:t>à l</w:t>
      </w:r>
      <w:r w:rsidR="00C2548D">
        <w:rPr>
          <w:lang w:val="fr-FR"/>
        </w:rPr>
        <w:t>’</w:t>
      </w:r>
      <w:r w:rsidR="00020B4B" w:rsidRPr="00C2548D">
        <w:rPr>
          <w:lang w:val="fr-FR"/>
        </w:rPr>
        <w:t>occasion de la seul</w:t>
      </w:r>
      <w:r w:rsidR="00277A66" w:rsidRPr="00C2548D">
        <w:rPr>
          <w:lang w:val="fr-FR"/>
        </w:rPr>
        <w:t>e</w:t>
      </w:r>
      <w:r w:rsidR="00020B4B" w:rsidRPr="00C2548D">
        <w:rPr>
          <w:lang w:val="fr-FR"/>
        </w:rPr>
        <w:t xml:space="preserve"> rencontre </w:t>
      </w:r>
      <w:r w:rsidR="003E5DFC" w:rsidRPr="00C2548D">
        <w:rPr>
          <w:lang w:val="fr-FR"/>
        </w:rPr>
        <w:t>ayant eu lieu</w:t>
      </w:r>
      <w:r w:rsidR="00CB341B" w:rsidRPr="00C2548D">
        <w:rPr>
          <w:lang w:val="fr-FR"/>
        </w:rPr>
        <w:t xml:space="preserve"> entre eux</w:t>
      </w:r>
      <w:r w:rsidR="00020B4B" w:rsidRPr="00C2548D">
        <w:rPr>
          <w:lang w:val="fr-FR"/>
        </w:rPr>
        <w:t>.</w:t>
      </w:r>
    </w:p>
    <w:p w:rsidR="00F34780" w:rsidRPr="00C2548D" w:rsidRDefault="00C2548D" w:rsidP="00F3478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42</w:t>
      </w:r>
      <w:r>
        <w:rPr>
          <w:noProof/>
        </w:rPr>
        <w:fldChar w:fldCharType="end"/>
      </w:r>
      <w:r w:rsidR="00020B4B" w:rsidRPr="00C2548D">
        <w:rPr>
          <w:lang w:val="fr-FR"/>
        </w:rPr>
        <w:t>.  </w:t>
      </w:r>
      <w:r w:rsidR="003E5DFC" w:rsidRPr="00C2548D">
        <w:rPr>
          <w:lang w:val="fr-FR"/>
        </w:rPr>
        <w:t xml:space="preserve">Cet </w:t>
      </w:r>
      <w:r w:rsidR="00F34780" w:rsidRPr="00C2548D">
        <w:rPr>
          <w:lang w:val="fr-FR"/>
        </w:rPr>
        <w:t>arrêt de la cour d</w:t>
      </w:r>
      <w:r>
        <w:rPr>
          <w:lang w:val="fr-FR"/>
        </w:rPr>
        <w:t>’</w:t>
      </w:r>
      <w:r w:rsidR="00F34780" w:rsidRPr="00C2548D">
        <w:rPr>
          <w:lang w:val="fr-FR"/>
        </w:rPr>
        <w:t>appel est dev</w:t>
      </w:r>
      <w:r w:rsidR="00020B4B" w:rsidRPr="00C2548D">
        <w:rPr>
          <w:lang w:val="fr-FR"/>
        </w:rPr>
        <w:t>en</w:t>
      </w:r>
      <w:r w:rsidR="00F34780" w:rsidRPr="00C2548D">
        <w:rPr>
          <w:lang w:val="fr-FR"/>
        </w:rPr>
        <w:t xml:space="preserve">u </w:t>
      </w:r>
      <w:r w:rsidR="00020B4B" w:rsidRPr="00C2548D">
        <w:rPr>
          <w:lang w:val="fr-FR"/>
        </w:rPr>
        <w:t>définitif</w:t>
      </w:r>
      <w:r w:rsidR="00277A66" w:rsidRPr="00C2548D">
        <w:rPr>
          <w:lang w:val="fr-FR"/>
        </w:rPr>
        <w:t>,</w:t>
      </w:r>
      <w:r w:rsidR="00F34780" w:rsidRPr="00C2548D">
        <w:rPr>
          <w:lang w:val="fr-FR"/>
        </w:rPr>
        <w:t xml:space="preserve"> le requérant ne s</w:t>
      </w:r>
      <w:r>
        <w:rPr>
          <w:lang w:val="fr-FR"/>
        </w:rPr>
        <w:t>’</w:t>
      </w:r>
      <w:r w:rsidR="00020B4B" w:rsidRPr="00C2548D">
        <w:rPr>
          <w:lang w:val="fr-FR"/>
        </w:rPr>
        <w:t>étant</w:t>
      </w:r>
      <w:r w:rsidR="00F34780" w:rsidRPr="00C2548D">
        <w:rPr>
          <w:lang w:val="fr-FR"/>
        </w:rPr>
        <w:t xml:space="preserve"> pas pourvu en cassation.</w:t>
      </w:r>
    </w:p>
    <w:p w:rsidR="00801719" w:rsidRPr="00C2548D" w:rsidRDefault="00C2548D" w:rsidP="00F3478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43</w:t>
      </w:r>
      <w:r>
        <w:rPr>
          <w:noProof/>
        </w:rPr>
        <w:fldChar w:fldCharType="end"/>
      </w:r>
      <w:r w:rsidR="004C11C5" w:rsidRPr="00C2548D">
        <w:rPr>
          <w:lang w:val="fr-FR"/>
        </w:rPr>
        <w:t>.  </w:t>
      </w:r>
      <w:r w:rsidR="008C7378" w:rsidRPr="00C2548D">
        <w:rPr>
          <w:lang w:val="fr-FR"/>
        </w:rPr>
        <w:t>À</w:t>
      </w:r>
      <w:r w:rsidR="00801719" w:rsidRPr="00C2548D">
        <w:rPr>
          <w:lang w:val="fr-FR"/>
        </w:rPr>
        <w:t xml:space="preserve"> une date non précisée, l</w:t>
      </w:r>
      <w:r>
        <w:rPr>
          <w:lang w:val="fr-FR"/>
        </w:rPr>
        <w:t>’</w:t>
      </w:r>
      <w:r w:rsidR="00801719" w:rsidRPr="00C2548D">
        <w:rPr>
          <w:lang w:val="fr-FR"/>
        </w:rPr>
        <w:t>enfant a été adoptée.</w:t>
      </w:r>
    </w:p>
    <w:p w:rsidR="00156A3E" w:rsidRPr="00C2548D" w:rsidRDefault="007D5CCA" w:rsidP="007D5CCA">
      <w:pPr>
        <w:pStyle w:val="ECHRHeading2"/>
        <w:rPr>
          <w:lang w:val="fr-FR"/>
        </w:rPr>
      </w:pPr>
      <w:r w:rsidRPr="00C2548D">
        <w:rPr>
          <w:lang w:val="fr-FR"/>
        </w:rPr>
        <w:t>C.  </w:t>
      </w:r>
      <w:r w:rsidR="000900D5" w:rsidRPr="00C2548D">
        <w:rPr>
          <w:lang w:val="fr-FR"/>
        </w:rPr>
        <w:t>Le r</w:t>
      </w:r>
      <w:r w:rsidR="00156A3E" w:rsidRPr="00C2548D">
        <w:rPr>
          <w:lang w:val="fr-FR"/>
        </w:rPr>
        <w:t>ecours en réparation pour détention injuste</w:t>
      </w:r>
    </w:p>
    <w:p w:rsidR="00156A3E" w:rsidRPr="00C2548D" w:rsidRDefault="00C2548D" w:rsidP="00D6731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44</w:t>
      </w:r>
      <w:r>
        <w:rPr>
          <w:noProof/>
        </w:rPr>
        <w:fldChar w:fldCharType="end"/>
      </w:r>
      <w:r w:rsidR="00020B4B" w:rsidRPr="00C2548D">
        <w:rPr>
          <w:lang w:val="fr-FR"/>
        </w:rPr>
        <w:t>.  </w:t>
      </w:r>
      <w:r w:rsidR="00156A3E" w:rsidRPr="00C2548D">
        <w:rPr>
          <w:lang w:val="fr-FR"/>
        </w:rPr>
        <w:t>Le 7 avril 2014, la cour d</w:t>
      </w:r>
      <w:r>
        <w:rPr>
          <w:lang w:val="fr-FR"/>
        </w:rPr>
        <w:t>’</w:t>
      </w:r>
      <w:r w:rsidR="00156A3E" w:rsidRPr="00C2548D">
        <w:rPr>
          <w:lang w:val="fr-FR"/>
        </w:rPr>
        <w:t>appel de Catane a octroyé au requérant 193 608</w:t>
      </w:r>
      <w:r w:rsidR="00B92E1D" w:rsidRPr="00C2548D">
        <w:rPr>
          <w:lang w:val="fr-FR"/>
        </w:rPr>
        <w:t> </w:t>
      </w:r>
      <w:r w:rsidR="00156A3E" w:rsidRPr="00C2548D">
        <w:rPr>
          <w:lang w:val="fr-FR"/>
        </w:rPr>
        <w:t xml:space="preserve">EUR pour </w:t>
      </w:r>
      <w:r w:rsidR="00101003" w:rsidRPr="00C2548D">
        <w:rPr>
          <w:lang w:val="fr-FR"/>
        </w:rPr>
        <w:t xml:space="preserve">la </w:t>
      </w:r>
      <w:r w:rsidR="00156A3E" w:rsidRPr="00C2548D">
        <w:rPr>
          <w:lang w:val="fr-FR"/>
        </w:rPr>
        <w:t>détention injust</w:t>
      </w:r>
      <w:r w:rsidR="00101003" w:rsidRPr="00C2548D">
        <w:rPr>
          <w:lang w:val="fr-FR"/>
        </w:rPr>
        <w:t>ement subie</w:t>
      </w:r>
      <w:r w:rsidR="00156A3E" w:rsidRPr="00C2548D">
        <w:rPr>
          <w:lang w:val="fr-FR"/>
        </w:rPr>
        <w:t xml:space="preserve"> entre le 2 avril 2009 et le 7 juillet 2011.</w:t>
      </w:r>
    </w:p>
    <w:p w:rsidR="00E77CB3" w:rsidRPr="00C2548D" w:rsidRDefault="00E77CB3" w:rsidP="00C63990">
      <w:pPr>
        <w:pStyle w:val="ECHRHeading1"/>
        <w:rPr>
          <w:lang w:val="fr-FR"/>
        </w:rPr>
      </w:pPr>
      <w:r w:rsidRPr="00C2548D">
        <w:rPr>
          <w:lang w:val="fr-FR"/>
        </w:rPr>
        <w:t>II.  LE DROIT ET LA PRATIQUE INTERNES PERTINENTS</w:t>
      </w:r>
    </w:p>
    <w:p w:rsidR="0099454D" w:rsidRPr="00C2548D" w:rsidRDefault="00C2548D" w:rsidP="0099454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45</w:t>
      </w:r>
      <w:r>
        <w:rPr>
          <w:noProof/>
        </w:rPr>
        <w:fldChar w:fldCharType="end"/>
      </w:r>
      <w:r w:rsidR="00E77CB3" w:rsidRPr="00C2548D">
        <w:rPr>
          <w:lang w:val="fr-FR"/>
        </w:rPr>
        <w:t>.  </w:t>
      </w:r>
      <w:r w:rsidR="0099454D" w:rsidRPr="00C2548D">
        <w:rPr>
          <w:lang w:val="fr-FR"/>
        </w:rPr>
        <w:t xml:space="preserve">La </w:t>
      </w:r>
      <w:bookmarkStart w:id="2" w:name="0100000B"/>
      <w:bookmarkEnd w:id="2"/>
      <w:r w:rsidR="0099454D" w:rsidRPr="00C2548D">
        <w:rPr>
          <w:lang w:val="fr-FR"/>
        </w:rPr>
        <w:t xml:space="preserve">loi </w:t>
      </w:r>
      <w:bookmarkStart w:id="3" w:name="0100000C"/>
      <w:bookmarkEnd w:id="3"/>
      <w:r w:rsidR="0099454D" w:rsidRPr="00C2548D">
        <w:rPr>
          <w:lang w:val="fr-FR"/>
        </w:rPr>
        <w:t>n</w:t>
      </w:r>
      <w:bookmarkStart w:id="4" w:name="0100000D"/>
      <w:bookmarkEnd w:id="4"/>
      <w:r w:rsidR="0099454D" w:rsidRPr="00C2548D">
        <w:rPr>
          <w:vertAlign w:val="superscript"/>
          <w:lang w:val="fr-FR"/>
        </w:rPr>
        <w:t>o</w:t>
      </w:r>
      <w:r w:rsidR="0099454D" w:rsidRPr="00C2548D">
        <w:rPr>
          <w:lang w:val="fr-FR"/>
        </w:rPr>
        <w:t xml:space="preserve"> 184 du </w:t>
      </w:r>
      <w:bookmarkStart w:id="5" w:name="0100000E"/>
      <w:bookmarkEnd w:id="5"/>
      <w:r w:rsidR="0099454D" w:rsidRPr="00C2548D">
        <w:rPr>
          <w:lang w:val="fr-FR"/>
        </w:rPr>
        <w:t xml:space="preserve">4 </w:t>
      </w:r>
      <w:bookmarkStart w:id="6" w:name="0100000F"/>
      <w:bookmarkEnd w:id="6"/>
      <w:r w:rsidR="0099454D" w:rsidRPr="00C2548D">
        <w:rPr>
          <w:lang w:val="fr-FR"/>
        </w:rPr>
        <w:t xml:space="preserve">mai </w:t>
      </w:r>
      <w:bookmarkStart w:id="7" w:name="01000010"/>
      <w:bookmarkEnd w:id="7"/>
      <w:r w:rsidR="0099454D" w:rsidRPr="00C2548D">
        <w:rPr>
          <w:lang w:val="fr-FR"/>
        </w:rPr>
        <w:t xml:space="preserve">1983 avait déjà </w:t>
      </w:r>
      <w:r w:rsidR="00345BBB" w:rsidRPr="00C2548D">
        <w:rPr>
          <w:lang w:val="fr-FR"/>
        </w:rPr>
        <w:t>apporté d</w:t>
      </w:r>
      <w:r>
        <w:rPr>
          <w:lang w:val="fr-FR"/>
        </w:rPr>
        <w:t>’</w:t>
      </w:r>
      <w:r w:rsidR="00345BBB" w:rsidRPr="00C2548D">
        <w:rPr>
          <w:lang w:val="fr-FR"/>
        </w:rPr>
        <w:t>amples changements dans le domaine</w:t>
      </w:r>
      <w:r w:rsidR="0099454D" w:rsidRPr="00C2548D">
        <w:rPr>
          <w:lang w:val="fr-FR"/>
        </w:rPr>
        <w:t xml:space="preserve"> de l</w:t>
      </w:r>
      <w:r>
        <w:rPr>
          <w:lang w:val="fr-FR"/>
        </w:rPr>
        <w:t>’</w:t>
      </w:r>
      <w:bookmarkStart w:id="8" w:name="HIT14"/>
      <w:bookmarkEnd w:id="8"/>
      <w:r w:rsidR="0099454D" w:rsidRPr="00C2548D">
        <w:rPr>
          <w:bCs/>
          <w:lang w:val="fr-FR"/>
        </w:rPr>
        <w:t>adoption</w:t>
      </w:r>
      <w:r w:rsidR="0099454D" w:rsidRPr="00C2548D">
        <w:rPr>
          <w:lang w:val="fr-FR"/>
        </w:rPr>
        <w:t xml:space="preserve">. </w:t>
      </w:r>
      <w:r w:rsidR="00345BBB" w:rsidRPr="00C2548D">
        <w:rPr>
          <w:lang w:val="fr-FR"/>
        </w:rPr>
        <w:t xml:space="preserve">Avec les modifications supplémentaires introduites par la </w:t>
      </w:r>
      <w:r w:rsidR="0099454D" w:rsidRPr="00C2548D">
        <w:rPr>
          <w:lang w:val="fr-FR"/>
        </w:rPr>
        <w:t>loi n</w:t>
      </w:r>
      <w:r w:rsidR="0099454D" w:rsidRPr="00C2548D">
        <w:rPr>
          <w:vertAlign w:val="superscript"/>
          <w:lang w:val="fr-FR"/>
        </w:rPr>
        <w:t>o</w:t>
      </w:r>
      <w:r w:rsidR="0099454D" w:rsidRPr="00C2548D">
        <w:rPr>
          <w:lang w:val="fr-FR"/>
        </w:rPr>
        <w:t xml:space="preserve"> 149 de 2001</w:t>
      </w:r>
      <w:r w:rsidR="00345BBB" w:rsidRPr="00C2548D">
        <w:rPr>
          <w:lang w:val="fr-FR"/>
        </w:rPr>
        <w:t xml:space="preserve">, ses dispositions se </w:t>
      </w:r>
      <w:r w:rsidR="00F11B0F" w:rsidRPr="00C2548D">
        <w:rPr>
          <w:lang w:val="fr-FR"/>
        </w:rPr>
        <w:t>présentent</w:t>
      </w:r>
      <w:r w:rsidR="00345BBB" w:rsidRPr="00C2548D">
        <w:rPr>
          <w:lang w:val="fr-FR"/>
        </w:rPr>
        <w:t xml:space="preserve"> comme suit</w:t>
      </w:r>
      <w:r w:rsidR="0099454D" w:rsidRPr="00C2548D">
        <w:rPr>
          <w:lang w:val="fr-FR"/>
        </w:rPr>
        <w:t>.</w:t>
      </w:r>
    </w:p>
    <w:p w:rsidR="0099454D" w:rsidRPr="00C2548D" w:rsidRDefault="0099454D" w:rsidP="00DF2FEA">
      <w:pPr>
        <w:pStyle w:val="ECHRTitleCentre3"/>
        <w:rPr>
          <w:lang w:val="fr-FR"/>
        </w:rPr>
      </w:pPr>
      <w:r w:rsidRPr="00C2548D">
        <w:rPr>
          <w:lang w:val="fr-FR"/>
        </w:rPr>
        <w:t>Article 1</w:t>
      </w:r>
    </w:p>
    <w:p w:rsidR="0099454D" w:rsidRPr="000E6D7E" w:rsidRDefault="0099454D" w:rsidP="00DF2FEA">
      <w:pPr>
        <w:pStyle w:val="ECHRParaQuote"/>
        <w:rPr>
          <w:lang w:val="fr-FR" w:eastAsia="fr-FR"/>
        </w:rPr>
      </w:pPr>
      <w:r w:rsidRPr="000E6D7E">
        <w:rPr>
          <w:lang w:val="fr-FR" w:eastAsia="fr-FR"/>
        </w:rPr>
        <w:t>« Le mineur a le droit d</w:t>
      </w:r>
      <w:r w:rsidR="00C2548D">
        <w:rPr>
          <w:lang w:val="fr-FR" w:eastAsia="fr-FR"/>
        </w:rPr>
        <w:t>’</w:t>
      </w:r>
      <w:r w:rsidRPr="000E6D7E">
        <w:rPr>
          <w:lang w:val="fr-FR" w:eastAsia="fr-FR"/>
        </w:rPr>
        <w:t xml:space="preserve">être </w:t>
      </w:r>
      <w:r w:rsidR="00345BBB" w:rsidRPr="000E6D7E">
        <w:rPr>
          <w:lang w:val="fr-FR" w:eastAsia="fr-FR"/>
        </w:rPr>
        <w:t xml:space="preserve">élevé </w:t>
      </w:r>
      <w:r w:rsidR="000E6D7E">
        <w:rPr>
          <w:lang w:val="fr-FR" w:eastAsia="fr-FR"/>
        </w:rPr>
        <w:t>dans sa propre famille. »</w:t>
      </w:r>
    </w:p>
    <w:p w:rsidR="0099454D" w:rsidRPr="00C2548D" w:rsidRDefault="0099454D" w:rsidP="0099454D">
      <w:pPr>
        <w:pStyle w:val="ECHRTitleCentre3"/>
        <w:rPr>
          <w:lang w:val="fr-FR"/>
        </w:rPr>
      </w:pPr>
      <w:r w:rsidRPr="00C2548D">
        <w:rPr>
          <w:lang w:val="fr-FR"/>
        </w:rPr>
        <w:t>Article 2</w:t>
      </w:r>
    </w:p>
    <w:p w:rsidR="0099454D" w:rsidRPr="000E6D7E" w:rsidRDefault="0099454D" w:rsidP="00DF2FEA">
      <w:pPr>
        <w:pStyle w:val="ECHRParaQuote"/>
        <w:rPr>
          <w:lang w:val="fr-FR" w:eastAsia="fr-FR"/>
        </w:rPr>
      </w:pPr>
      <w:r w:rsidRPr="00C2548D">
        <w:rPr>
          <w:lang w:val="fr-FR" w:eastAsia="fr-FR"/>
        </w:rPr>
        <w:t xml:space="preserve">« Le mineur qui est resté temporairement sans environnement familial adéquat peut être confié à une autre famille, si possible comprenant des enfants mineurs, ou à une personne seule, ou à une communauté de type familial, afin de lui assurer subsistance, éducation et instruction. </w:t>
      </w:r>
      <w:r w:rsidR="00345BBB" w:rsidRPr="000E6D7E">
        <w:rPr>
          <w:lang w:val="fr-FR" w:eastAsia="fr-FR"/>
        </w:rPr>
        <w:t xml:space="preserve">Dans le </w:t>
      </w:r>
      <w:r w:rsidRPr="000E6D7E">
        <w:rPr>
          <w:lang w:val="fr-FR" w:eastAsia="fr-FR"/>
        </w:rPr>
        <w:t xml:space="preserve">cas où un placement familial adéquat </w:t>
      </w:r>
      <w:r w:rsidR="009E6FF1" w:rsidRPr="000E6D7E">
        <w:rPr>
          <w:lang w:val="fr-FR" w:eastAsia="fr-FR"/>
        </w:rPr>
        <w:t>n</w:t>
      </w:r>
      <w:r w:rsidR="00C2548D">
        <w:rPr>
          <w:lang w:val="fr-FR" w:eastAsia="fr-FR"/>
        </w:rPr>
        <w:t>’</w:t>
      </w:r>
      <w:r w:rsidR="009E6FF1" w:rsidRPr="000E6D7E">
        <w:rPr>
          <w:lang w:val="fr-FR" w:eastAsia="fr-FR"/>
        </w:rPr>
        <w:t>est</w:t>
      </w:r>
      <w:r w:rsidRPr="000E6D7E">
        <w:rPr>
          <w:lang w:val="fr-FR" w:eastAsia="fr-FR"/>
        </w:rPr>
        <w:t xml:space="preserve"> pas possible, il est permis de placer le mineur dans un institut d</w:t>
      </w:r>
      <w:r w:rsidR="00C2548D">
        <w:rPr>
          <w:lang w:val="fr-FR" w:eastAsia="fr-FR"/>
        </w:rPr>
        <w:t>’</w:t>
      </w:r>
      <w:r w:rsidRPr="000E6D7E">
        <w:rPr>
          <w:lang w:val="fr-FR" w:eastAsia="fr-FR"/>
        </w:rPr>
        <w:t xml:space="preserve">assistance public ou privé, de préférence dans la </w:t>
      </w:r>
      <w:r w:rsidR="000E6D7E" w:rsidRPr="000E6D7E">
        <w:rPr>
          <w:lang w:val="fr-FR" w:eastAsia="fr-FR"/>
        </w:rPr>
        <w:t>région de résidence du mineur</w:t>
      </w:r>
      <w:r w:rsidR="000E6D7E">
        <w:rPr>
          <w:lang w:val="fr-FR" w:eastAsia="fr-FR"/>
        </w:rPr>
        <w:t>.</w:t>
      </w:r>
      <w:r w:rsidR="000E6D7E" w:rsidRPr="000E6D7E">
        <w:rPr>
          <w:lang w:val="fr-FR" w:eastAsia="fr-FR"/>
        </w:rPr>
        <w:t> »</w:t>
      </w:r>
    </w:p>
    <w:p w:rsidR="0099454D" w:rsidRPr="00C2548D" w:rsidRDefault="0099454D" w:rsidP="0099454D">
      <w:pPr>
        <w:pStyle w:val="ECHRTitleCentre3"/>
        <w:rPr>
          <w:lang w:val="fr-FR"/>
        </w:rPr>
      </w:pPr>
      <w:r w:rsidRPr="00C2548D">
        <w:rPr>
          <w:lang w:val="fr-FR"/>
        </w:rPr>
        <w:t>Article 5</w:t>
      </w:r>
    </w:p>
    <w:p w:rsidR="0099454D" w:rsidRPr="000E6D7E" w:rsidRDefault="0099454D" w:rsidP="00DF2FEA">
      <w:pPr>
        <w:pStyle w:val="ECHRParaQuote"/>
        <w:rPr>
          <w:lang w:val="fr-FR" w:eastAsia="fr-FR"/>
        </w:rPr>
      </w:pPr>
      <w:r w:rsidRPr="00C2548D">
        <w:rPr>
          <w:lang w:val="fr-FR" w:eastAsia="fr-FR"/>
        </w:rPr>
        <w:t xml:space="preserve">« La famille ou la personne à laquelle le mineur est confié doivent lui assurer subsistance, éducation et instruction (...) </w:t>
      </w:r>
      <w:r w:rsidR="009E6FF1" w:rsidRPr="00C2548D">
        <w:rPr>
          <w:lang w:val="fr-FR" w:eastAsia="fr-FR"/>
        </w:rPr>
        <w:t>en tenant compte</w:t>
      </w:r>
      <w:r w:rsidRPr="00C2548D">
        <w:rPr>
          <w:lang w:val="fr-FR" w:eastAsia="fr-FR"/>
        </w:rPr>
        <w:t xml:space="preserve"> des indications du tuteur et en observant les prescriptions de l</w:t>
      </w:r>
      <w:r w:rsidR="00C2548D">
        <w:rPr>
          <w:lang w:val="fr-FR" w:eastAsia="fr-FR"/>
        </w:rPr>
        <w:t>’</w:t>
      </w:r>
      <w:r w:rsidRPr="00C2548D">
        <w:rPr>
          <w:lang w:val="fr-FR" w:eastAsia="fr-FR"/>
        </w:rPr>
        <w:t>autorité judiciaire. Dans tous les cas, la famille d</w:t>
      </w:r>
      <w:r w:rsidR="00C2548D">
        <w:rPr>
          <w:lang w:val="fr-FR" w:eastAsia="fr-FR"/>
        </w:rPr>
        <w:t>’</w:t>
      </w:r>
      <w:r w:rsidRPr="00C2548D">
        <w:rPr>
          <w:lang w:val="fr-FR" w:eastAsia="fr-FR"/>
        </w:rPr>
        <w:t>accueil exerce la responsabilité parentale en ce qui concerne les rapports avec l</w:t>
      </w:r>
      <w:r w:rsidR="00C2548D">
        <w:rPr>
          <w:lang w:val="fr-FR" w:eastAsia="fr-FR"/>
        </w:rPr>
        <w:t>’</w:t>
      </w:r>
      <w:r w:rsidRPr="00C2548D">
        <w:rPr>
          <w:lang w:val="fr-FR" w:eastAsia="fr-FR"/>
        </w:rPr>
        <w:t xml:space="preserve">école et </w:t>
      </w:r>
      <w:r w:rsidR="00EE431A" w:rsidRPr="00C2548D">
        <w:rPr>
          <w:lang w:val="fr-FR" w:eastAsia="fr-FR"/>
        </w:rPr>
        <w:t>les institutions sanitaires nationales.</w:t>
      </w:r>
      <w:r w:rsidR="009358E4" w:rsidRPr="00C2548D">
        <w:rPr>
          <w:lang w:val="fr-FR" w:eastAsia="fr-FR"/>
        </w:rPr>
        <w:t xml:space="preserve"> </w:t>
      </w:r>
      <w:r w:rsidRPr="000E6D7E">
        <w:rPr>
          <w:lang w:val="fr-FR" w:eastAsia="fr-FR"/>
        </w:rPr>
        <w:t>La famille d</w:t>
      </w:r>
      <w:r w:rsidR="00C2548D">
        <w:rPr>
          <w:lang w:val="fr-FR" w:eastAsia="fr-FR"/>
        </w:rPr>
        <w:t>’</w:t>
      </w:r>
      <w:r w:rsidRPr="000E6D7E">
        <w:rPr>
          <w:lang w:val="fr-FR" w:eastAsia="fr-FR"/>
        </w:rPr>
        <w:t xml:space="preserve">accueil doit être entendue dans </w:t>
      </w:r>
      <w:r w:rsidR="00EE431A" w:rsidRPr="000E6D7E">
        <w:rPr>
          <w:lang w:val="fr-FR" w:eastAsia="fr-FR"/>
        </w:rPr>
        <w:t xml:space="preserve">les </w:t>
      </w:r>
      <w:r w:rsidRPr="000E6D7E">
        <w:rPr>
          <w:lang w:val="fr-FR" w:eastAsia="fr-FR"/>
        </w:rPr>
        <w:t>procédure</w:t>
      </w:r>
      <w:r w:rsidR="00EE431A" w:rsidRPr="000E6D7E">
        <w:rPr>
          <w:lang w:val="fr-FR" w:eastAsia="fr-FR"/>
        </w:rPr>
        <w:t>s</w:t>
      </w:r>
      <w:r w:rsidRPr="000E6D7E">
        <w:rPr>
          <w:lang w:val="fr-FR" w:eastAsia="fr-FR"/>
        </w:rPr>
        <w:t xml:space="preserve"> de placement </w:t>
      </w:r>
      <w:r w:rsidR="00EE431A" w:rsidRPr="000E6D7E">
        <w:rPr>
          <w:lang w:val="fr-FR" w:eastAsia="fr-FR"/>
        </w:rPr>
        <w:t>ou de</w:t>
      </w:r>
      <w:r w:rsidRPr="000E6D7E">
        <w:rPr>
          <w:lang w:val="fr-FR" w:eastAsia="fr-FR"/>
        </w:rPr>
        <w:t xml:space="preserve"> déclaration d</w:t>
      </w:r>
      <w:r w:rsidR="00C2548D">
        <w:rPr>
          <w:lang w:val="fr-FR" w:eastAsia="fr-FR"/>
        </w:rPr>
        <w:t>’</w:t>
      </w:r>
      <w:r w:rsidR="000E6D7E" w:rsidRPr="000E6D7E">
        <w:rPr>
          <w:lang w:val="fr-FR" w:eastAsia="fr-FR"/>
        </w:rPr>
        <w:t>adoptabilité</w:t>
      </w:r>
      <w:r w:rsidR="000E6D7E">
        <w:rPr>
          <w:lang w:val="fr-FR" w:eastAsia="fr-FR"/>
        </w:rPr>
        <w:t>.</w:t>
      </w:r>
      <w:r w:rsidR="000E6D7E" w:rsidRPr="000E6D7E">
        <w:rPr>
          <w:lang w:val="fr-FR" w:eastAsia="fr-FR"/>
        </w:rPr>
        <w:t> »</w:t>
      </w:r>
    </w:p>
    <w:p w:rsidR="0099454D" w:rsidRPr="00C2548D" w:rsidRDefault="0099454D" w:rsidP="0099454D">
      <w:pPr>
        <w:pStyle w:val="ECHRTitleCentre3"/>
        <w:rPr>
          <w:lang w:val="fr-FR"/>
        </w:rPr>
      </w:pPr>
      <w:r w:rsidRPr="00C2548D">
        <w:rPr>
          <w:lang w:val="fr-FR"/>
        </w:rPr>
        <w:t>Article 7</w:t>
      </w:r>
    </w:p>
    <w:p w:rsidR="0099454D" w:rsidRPr="000E6D7E" w:rsidRDefault="0099454D" w:rsidP="00DF2FEA">
      <w:pPr>
        <w:pStyle w:val="ECHRParaQuote"/>
        <w:rPr>
          <w:lang w:val="fr-FR" w:eastAsia="fr-FR"/>
        </w:rPr>
      </w:pPr>
      <w:r w:rsidRPr="000E6D7E">
        <w:rPr>
          <w:lang w:val="fr-FR" w:eastAsia="fr-FR"/>
        </w:rPr>
        <w:t>« L</w:t>
      </w:r>
      <w:r w:rsidR="00C2548D">
        <w:rPr>
          <w:lang w:val="fr-FR" w:eastAsia="fr-FR"/>
        </w:rPr>
        <w:t>’</w:t>
      </w:r>
      <w:bookmarkStart w:id="9" w:name="HIT15"/>
      <w:bookmarkEnd w:id="9"/>
      <w:r w:rsidRPr="000E6D7E">
        <w:rPr>
          <w:bCs/>
          <w:lang w:val="fr-FR" w:eastAsia="fr-FR"/>
        </w:rPr>
        <w:t>adoption</w:t>
      </w:r>
      <w:r w:rsidRPr="000E6D7E">
        <w:rPr>
          <w:lang w:val="fr-FR" w:eastAsia="fr-FR"/>
        </w:rPr>
        <w:t xml:space="preserve"> est possible au bénéfice de</w:t>
      </w:r>
      <w:r w:rsidR="000E6D7E" w:rsidRPr="000E6D7E">
        <w:rPr>
          <w:lang w:val="fr-FR" w:eastAsia="fr-FR"/>
        </w:rPr>
        <w:t>s mineurs déclarés adoptables</w:t>
      </w:r>
      <w:r w:rsidR="000E6D7E">
        <w:rPr>
          <w:lang w:val="fr-FR" w:eastAsia="fr-FR"/>
        </w:rPr>
        <w:t>.</w:t>
      </w:r>
      <w:r w:rsidR="000E6D7E" w:rsidRPr="000E6D7E">
        <w:rPr>
          <w:lang w:val="fr-FR" w:eastAsia="fr-FR"/>
        </w:rPr>
        <w:t> »</w:t>
      </w:r>
    </w:p>
    <w:p w:rsidR="0099454D" w:rsidRPr="00C2548D" w:rsidRDefault="0099454D" w:rsidP="0099454D">
      <w:pPr>
        <w:pStyle w:val="ECHRTitleCentre3"/>
        <w:rPr>
          <w:lang w:val="fr-FR"/>
        </w:rPr>
      </w:pPr>
      <w:r w:rsidRPr="00C2548D">
        <w:rPr>
          <w:lang w:val="fr-FR"/>
        </w:rPr>
        <w:t>Article 8</w:t>
      </w:r>
    </w:p>
    <w:p w:rsidR="003442AD" w:rsidRPr="000E6D7E" w:rsidRDefault="0099454D" w:rsidP="00DF2FEA">
      <w:pPr>
        <w:pStyle w:val="ECHRParaQuote"/>
        <w:rPr>
          <w:lang w:val="fr-FR" w:eastAsia="fr-FR"/>
        </w:rPr>
      </w:pPr>
      <w:r w:rsidRPr="000E6D7E">
        <w:rPr>
          <w:lang w:val="fr-FR" w:eastAsia="fr-FR"/>
        </w:rPr>
        <w:t xml:space="preserve">« Le </w:t>
      </w:r>
      <w:r w:rsidR="00EE431A" w:rsidRPr="000E6D7E">
        <w:rPr>
          <w:lang w:val="fr-FR" w:eastAsia="fr-FR"/>
        </w:rPr>
        <w:t>tribunal des affaires d</w:t>
      </w:r>
      <w:r w:rsidR="00C2548D">
        <w:rPr>
          <w:lang w:val="fr-FR" w:eastAsia="fr-FR"/>
        </w:rPr>
        <w:t>’</w:t>
      </w:r>
      <w:r w:rsidR="00EE431A" w:rsidRPr="000E6D7E">
        <w:rPr>
          <w:lang w:val="fr-FR" w:eastAsia="fr-FR"/>
        </w:rPr>
        <w:t>enfants</w:t>
      </w:r>
      <w:r w:rsidRPr="000E6D7E">
        <w:rPr>
          <w:lang w:val="fr-FR" w:eastAsia="fr-FR"/>
        </w:rPr>
        <w:t xml:space="preserve"> peut déclarer en état d</w:t>
      </w:r>
      <w:r w:rsidR="00C2548D">
        <w:rPr>
          <w:lang w:val="fr-FR" w:eastAsia="fr-FR"/>
        </w:rPr>
        <w:t>’</w:t>
      </w:r>
      <w:r w:rsidRPr="000E6D7E">
        <w:rPr>
          <w:lang w:val="fr-FR" w:eastAsia="fr-FR"/>
        </w:rPr>
        <w:t>adoptabilité, même d</w:t>
      </w:r>
      <w:r w:rsidR="00C2548D">
        <w:rPr>
          <w:lang w:val="fr-FR" w:eastAsia="fr-FR"/>
        </w:rPr>
        <w:t>’</w:t>
      </w:r>
      <w:r w:rsidRPr="000E6D7E">
        <w:rPr>
          <w:lang w:val="fr-FR" w:eastAsia="fr-FR"/>
        </w:rPr>
        <w:t>office, (...) les mineurs en situation d</w:t>
      </w:r>
      <w:r w:rsidR="00C2548D">
        <w:rPr>
          <w:lang w:val="fr-FR" w:eastAsia="fr-FR"/>
        </w:rPr>
        <w:t>’</w:t>
      </w:r>
      <w:r w:rsidRPr="000E6D7E">
        <w:rPr>
          <w:lang w:val="fr-FR" w:eastAsia="fr-FR"/>
        </w:rPr>
        <w:t xml:space="preserve">abandon </w:t>
      </w:r>
      <w:r w:rsidR="001D7BF2" w:rsidRPr="000E6D7E">
        <w:rPr>
          <w:lang w:val="fr-FR" w:eastAsia="fr-FR"/>
        </w:rPr>
        <w:t>du fait de</w:t>
      </w:r>
      <w:r w:rsidRPr="000E6D7E">
        <w:rPr>
          <w:lang w:val="fr-FR" w:eastAsia="fr-FR"/>
        </w:rPr>
        <w:t xml:space="preserve"> </w:t>
      </w:r>
      <w:r w:rsidR="00EE431A" w:rsidRPr="000E6D7E">
        <w:rPr>
          <w:lang w:val="fr-FR" w:eastAsia="fr-FR"/>
        </w:rPr>
        <w:t>l</w:t>
      </w:r>
      <w:r w:rsidR="00C2548D">
        <w:rPr>
          <w:lang w:val="fr-FR" w:eastAsia="fr-FR"/>
        </w:rPr>
        <w:t>’</w:t>
      </w:r>
      <w:r w:rsidR="00EE431A" w:rsidRPr="000E6D7E">
        <w:rPr>
          <w:lang w:val="fr-FR" w:eastAsia="fr-FR"/>
        </w:rPr>
        <w:t xml:space="preserve">absence </w:t>
      </w:r>
      <w:r w:rsidRPr="000E6D7E">
        <w:rPr>
          <w:lang w:val="fr-FR" w:eastAsia="fr-FR"/>
        </w:rPr>
        <w:t xml:space="preserve">de toute assistance morale ou matérielle de la part des parents ou de la famille tenus </w:t>
      </w:r>
      <w:r w:rsidR="00EE431A" w:rsidRPr="000E6D7E">
        <w:rPr>
          <w:lang w:val="fr-FR" w:eastAsia="fr-FR"/>
        </w:rPr>
        <w:t>[d</w:t>
      </w:r>
      <w:r w:rsidR="00C2548D">
        <w:rPr>
          <w:lang w:val="fr-FR" w:eastAsia="fr-FR"/>
        </w:rPr>
        <w:t>’</w:t>
      </w:r>
      <w:r w:rsidR="00EE431A" w:rsidRPr="000E6D7E">
        <w:rPr>
          <w:lang w:val="fr-FR" w:eastAsia="fr-FR"/>
        </w:rPr>
        <w:t>une obligation en ce sens]</w:t>
      </w:r>
      <w:r w:rsidRPr="000E6D7E">
        <w:rPr>
          <w:lang w:val="fr-FR" w:eastAsia="fr-FR"/>
        </w:rPr>
        <w:t>, sauf si le manque d</w:t>
      </w:r>
      <w:r w:rsidR="00C2548D">
        <w:rPr>
          <w:lang w:val="fr-FR" w:eastAsia="fr-FR"/>
        </w:rPr>
        <w:t>’</w:t>
      </w:r>
      <w:r w:rsidRPr="000E6D7E">
        <w:rPr>
          <w:lang w:val="fr-FR" w:eastAsia="fr-FR"/>
        </w:rPr>
        <w:t>assistance est dû à une cause de force maj</w:t>
      </w:r>
      <w:r w:rsidR="000E6D7E" w:rsidRPr="000E6D7E">
        <w:rPr>
          <w:lang w:val="fr-FR" w:eastAsia="fr-FR"/>
        </w:rPr>
        <w:t>eure de caractère transitoire</w:t>
      </w:r>
      <w:r w:rsidR="000E6D7E">
        <w:rPr>
          <w:lang w:val="fr-FR" w:eastAsia="fr-FR"/>
        </w:rPr>
        <w:t>.</w:t>
      </w:r>
      <w:r w:rsidR="000E6D7E" w:rsidRPr="000E6D7E">
        <w:rPr>
          <w:lang w:val="fr-FR" w:eastAsia="fr-FR"/>
        </w:rPr>
        <w:t> »</w:t>
      </w:r>
    </w:p>
    <w:p w:rsidR="0099454D" w:rsidRPr="00C2548D" w:rsidRDefault="0099454D" w:rsidP="00DF2FEA">
      <w:pPr>
        <w:pStyle w:val="ECHRPara"/>
        <w:rPr>
          <w:lang w:val="fr-FR" w:eastAsia="fr-FR"/>
        </w:rPr>
      </w:pPr>
      <w:r w:rsidRPr="00C2548D">
        <w:rPr>
          <w:lang w:val="fr-FR" w:eastAsia="fr-FR"/>
        </w:rPr>
        <w:t xml:space="preserve">La </w:t>
      </w:r>
      <w:r w:rsidR="001D7BF2" w:rsidRPr="00C2548D">
        <w:rPr>
          <w:lang w:val="fr-FR" w:eastAsia="fr-FR"/>
        </w:rPr>
        <w:t>« </w:t>
      </w:r>
      <w:r w:rsidRPr="00C2548D">
        <w:rPr>
          <w:lang w:val="fr-FR" w:eastAsia="fr-FR"/>
        </w:rPr>
        <w:t>situation d</w:t>
      </w:r>
      <w:r w:rsidR="00C2548D">
        <w:rPr>
          <w:lang w:val="fr-FR" w:eastAsia="fr-FR"/>
        </w:rPr>
        <w:t>’</w:t>
      </w:r>
      <w:r w:rsidRPr="00C2548D">
        <w:rPr>
          <w:lang w:val="fr-FR" w:eastAsia="fr-FR"/>
        </w:rPr>
        <w:t>abandon</w:t>
      </w:r>
      <w:r w:rsidR="001D7BF2" w:rsidRPr="00C2548D">
        <w:rPr>
          <w:lang w:val="fr-FR" w:eastAsia="fr-FR"/>
        </w:rPr>
        <w:t> »</w:t>
      </w:r>
      <w:r w:rsidRPr="00C2548D">
        <w:rPr>
          <w:lang w:val="fr-FR" w:eastAsia="fr-FR"/>
        </w:rPr>
        <w:t xml:space="preserve"> subsiste, </w:t>
      </w:r>
      <w:r w:rsidR="001D7BF2" w:rsidRPr="00C2548D">
        <w:rPr>
          <w:lang w:val="fr-FR" w:eastAsia="fr-FR"/>
        </w:rPr>
        <w:t xml:space="preserve">précise </w:t>
      </w:r>
      <w:r w:rsidRPr="00C2548D">
        <w:rPr>
          <w:lang w:val="fr-FR" w:eastAsia="fr-FR"/>
        </w:rPr>
        <w:t>l</w:t>
      </w:r>
      <w:r w:rsidR="00C2548D">
        <w:rPr>
          <w:lang w:val="fr-FR" w:eastAsia="fr-FR"/>
        </w:rPr>
        <w:t>’</w:t>
      </w:r>
      <w:r w:rsidRPr="00C2548D">
        <w:rPr>
          <w:lang w:val="fr-FR" w:eastAsia="fr-FR"/>
        </w:rPr>
        <w:t>article 8,</w:t>
      </w:r>
      <w:r w:rsidR="001D7BF2" w:rsidRPr="00C2548D">
        <w:rPr>
          <w:lang w:val="fr-FR" w:eastAsia="fr-FR"/>
        </w:rPr>
        <w:t xml:space="preserve"> </w:t>
      </w:r>
      <w:r w:rsidRPr="00C2548D">
        <w:rPr>
          <w:lang w:val="fr-FR" w:eastAsia="fr-FR"/>
        </w:rPr>
        <w:t>même si les mineurs se trouvent dans un institut d</w:t>
      </w:r>
      <w:r w:rsidR="00C2548D">
        <w:rPr>
          <w:lang w:val="fr-FR" w:eastAsia="fr-FR"/>
        </w:rPr>
        <w:t>’</w:t>
      </w:r>
      <w:r w:rsidRPr="00C2548D">
        <w:rPr>
          <w:lang w:val="fr-FR" w:eastAsia="fr-FR"/>
        </w:rPr>
        <w:t>assistance ou s</w:t>
      </w:r>
      <w:r w:rsidR="00C2548D">
        <w:rPr>
          <w:lang w:val="fr-FR" w:eastAsia="fr-FR"/>
        </w:rPr>
        <w:t>’</w:t>
      </w:r>
      <w:r w:rsidRPr="00C2548D">
        <w:rPr>
          <w:lang w:val="fr-FR" w:eastAsia="fr-FR"/>
        </w:rPr>
        <w:t>ils ont été placés auprès d</w:t>
      </w:r>
      <w:r w:rsidR="00C2548D">
        <w:rPr>
          <w:lang w:val="fr-FR" w:eastAsia="fr-FR"/>
        </w:rPr>
        <w:t>’</w:t>
      </w:r>
      <w:r w:rsidRPr="00C2548D">
        <w:rPr>
          <w:lang w:val="fr-FR" w:eastAsia="fr-FR"/>
        </w:rPr>
        <w:t>une famille.</w:t>
      </w:r>
    </w:p>
    <w:p w:rsidR="001D7BF2" w:rsidRPr="00C2548D" w:rsidRDefault="0099454D" w:rsidP="00DF2FEA">
      <w:pPr>
        <w:pStyle w:val="ECHRPara"/>
        <w:rPr>
          <w:lang w:val="fr-FR" w:eastAsia="fr-FR"/>
        </w:rPr>
      </w:pPr>
      <w:r w:rsidRPr="00C2548D">
        <w:rPr>
          <w:lang w:val="fr-FR" w:eastAsia="fr-FR"/>
        </w:rPr>
        <w:t>Enfin,</w:t>
      </w:r>
      <w:r w:rsidR="001D7BF2" w:rsidRPr="00C2548D">
        <w:rPr>
          <w:lang w:val="fr-FR" w:eastAsia="fr-FR"/>
        </w:rPr>
        <w:t xml:space="preserve"> toujours selon</w:t>
      </w:r>
      <w:r w:rsidRPr="00C2548D">
        <w:rPr>
          <w:lang w:val="fr-FR" w:eastAsia="fr-FR"/>
        </w:rPr>
        <w:t xml:space="preserve"> l</w:t>
      </w:r>
      <w:r w:rsidR="00C2548D">
        <w:rPr>
          <w:lang w:val="fr-FR" w:eastAsia="fr-FR"/>
        </w:rPr>
        <w:t>’</w:t>
      </w:r>
      <w:r w:rsidRPr="00C2548D">
        <w:rPr>
          <w:lang w:val="fr-FR" w:eastAsia="fr-FR"/>
        </w:rPr>
        <w:t>article 8</w:t>
      </w:r>
      <w:r w:rsidR="001D7BF2" w:rsidRPr="00C2548D">
        <w:rPr>
          <w:lang w:val="fr-FR" w:eastAsia="fr-FR"/>
        </w:rPr>
        <w:t>, il n</w:t>
      </w:r>
      <w:r w:rsidR="00C2548D">
        <w:rPr>
          <w:lang w:val="fr-FR" w:eastAsia="fr-FR"/>
        </w:rPr>
        <w:t>’</w:t>
      </w:r>
      <w:r w:rsidR="001D7BF2" w:rsidRPr="00C2548D">
        <w:rPr>
          <w:lang w:val="fr-FR" w:eastAsia="fr-FR"/>
        </w:rPr>
        <w:t xml:space="preserve">y a pas de force majeure </w:t>
      </w:r>
      <w:r w:rsidRPr="00C2548D">
        <w:rPr>
          <w:lang w:val="fr-FR" w:eastAsia="fr-FR"/>
        </w:rPr>
        <w:t>si les parents ou autres membres de la famille du mineur tenus de s</w:t>
      </w:r>
      <w:r w:rsidR="00C2548D">
        <w:rPr>
          <w:lang w:val="fr-FR" w:eastAsia="fr-FR"/>
        </w:rPr>
        <w:t>’</w:t>
      </w:r>
      <w:r w:rsidRPr="00C2548D">
        <w:rPr>
          <w:lang w:val="fr-FR" w:eastAsia="fr-FR"/>
        </w:rPr>
        <w:t>en occuper refusent les mesures d</w:t>
      </w:r>
      <w:r w:rsidR="00C2548D">
        <w:rPr>
          <w:lang w:val="fr-FR" w:eastAsia="fr-FR"/>
        </w:rPr>
        <w:t>’</w:t>
      </w:r>
      <w:r w:rsidRPr="00C2548D">
        <w:rPr>
          <w:lang w:val="fr-FR" w:eastAsia="fr-FR"/>
        </w:rPr>
        <w:t xml:space="preserve">assistance publique </w:t>
      </w:r>
      <w:r w:rsidR="001D7BF2" w:rsidRPr="00C2548D">
        <w:rPr>
          <w:lang w:val="fr-FR" w:eastAsia="fr-FR"/>
        </w:rPr>
        <w:t xml:space="preserve">proposées </w:t>
      </w:r>
      <w:r w:rsidRPr="00C2548D">
        <w:rPr>
          <w:lang w:val="fr-FR" w:eastAsia="fr-FR"/>
        </w:rPr>
        <w:t>et si ce refus est considéré par le juge comme injustifié.</w:t>
      </w:r>
    </w:p>
    <w:p w:rsidR="0099454D" w:rsidRPr="00C2548D" w:rsidRDefault="0099454D" w:rsidP="00DF2FEA">
      <w:pPr>
        <w:pStyle w:val="ECHRPara"/>
        <w:rPr>
          <w:lang w:val="fr-FR" w:eastAsia="fr-FR"/>
        </w:rPr>
      </w:pPr>
      <w:r w:rsidRPr="00C2548D">
        <w:rPr>
          <w:lang w:val="fr-FR" w:eastAsia="fr-FR"/>
        </w:rPr>
        <w:t>La situation d</w:t>
      </w:r>
      <w:r w:rsidR="00C2548D">
        <w:rPr>
          <w:lang w:val="fr-FR" w:eastAsia="fr-FR"/>
        </w:rPr>
        <w:t>’</w:t>
      </w:r>
      <w:r w:rsidRPr="00C2548D">
        <w:rPr>
          <w:lang w:val="fr-FR" w:eastAsia="fr-FR"/>
        </w:rPr>
        <w:t>abandon peut être signalée à l</w:t>
      </w:r>
      <w:r w:rsidR="00C2548D">
        <w:rPr>
          <w:lang w:val="fr-FR" w:eastAsia="fr-FR"/>
        </w:rPr>
        <w:t>’</w:t>
      </w:r>
      <w:r w:rsidRPr="00C2548D">
        <w:rPr>
          <w:lang w:val="fr-FR" w:eastAsia="fr-FR"/>
        </w:rPr>
        <w:t xml:space="preserve">autorité publique par tout particulier </w:t>
      </w:r>
      <w:r w:rsidR="001D7BF2" w:rsidRPr="00C2548D">
        <w:rPr>
          <w:lang w:val="fr-FR" w:eastAsia="fr-FR"/>
        </w:rPr>
        <w:t>ou</w:t>
      </w:r>
      <w:r w:rsidRPr="00C2548D">
        <w:rPr>
          <w:lang w:val="fr-FR" w:eastAsia="fr-FR"/>
        </w:rPr>
        <w:t xml:space="preserve"> être relevée d</w:t>
      </w:r>
      <w:r w:rsidR="00C2548D">
        <w:rPr>
          <w:lang w:val="fr-FR" w:eastAsia="fr-FR"/>
        </w:rPr>
        <w:t>’</w:t>
      </w:r>
      <w:r w:rsidRPr="00C2548D">
        <w:rPr>
          <w:lang w:val="fr-FR" w:eastAsia="fr-FR"/>
        </w:rPr>
        <w:t xml:space="preserve">office par le juge. </w:t>
      </w:r>
      <w:r w:rsidR="00F11B0F" w:rsidRPr="00C2548D">
        <w:rPr>
          <w:lang w:val="fr-FR" w:eastAsia="fr-FR"/>
        </w:rPr>
        <w:t>Pour les</w:t>
      </w:r>
      <w:r w:rsidRPr="00C2548D">
        <w:rPr>
          <w:lang w:val="fr-FR" w:eastAsia="fr-FR"/>
        </w:rPr>
        <w:t xml:space="preserve"> fonctionnaire</w:t>
      </w:r>
      <w:r w:rsidR="00F11B0F" w:rsidRPr="00C2548D">
        <w:rPr>
          <w:lang w:val="fr-FR" w:eastAsia="fr-FR"/>
        </w:rPr>
        <w:t>s</w:t>
      </w:r>
      <w:r w:rsidRPr="00C2548D">
        <w:rPr>
          <w:lang w:val="fr-FR" w:eastAsia="fr-FR"/>
        </w:rPr>
        <w:t xml:space="preserve"> public</w:t>
      </w:r>
      <w:r w:rsidR="00F11B0F" w:rsidRPr="00C2548D">
        <w:rPr>
          <w:lang w:val="fr-FR" w:eastAsia="fr-FR"/>
        </w:rPr>
        <w:t>s ou les membres de</w:t>
      </w:r>
      <w:r w:rsidRPr="00C2548D">
        <w:rPr>
          <w:lang w:val="fr-FR" w:eastAsia="fr-FR"/>
        </w:rPr>
        <w:t xml:space="preserve"> </w:t>
      </w:r>
      <w:r w:rsidR="00F11B0F" w:rsidRPr="00C2548D">
        <w:rPr>
          <w:lang w:val="fr-FR" w:eastAsia="fr-FR"/>
        </w:rPr>
        <w:t xml:space="preserve">sa </w:t>
      </w:r>
      <w:r w:rsidRPr="00C2548D">
        <w:rPr>
          <w:lang w:val="fr-FR" w:eastAsia="fr-FR"/>
        </w:rPr>
        <w:t xml:space="preserve">famille </w:t>
      </w:r>
      <w:r w:rsidR="00F11B0F" w:rsidRPr="00C2548D">
        <w:rPr>
          <w:lang w:val="fr-FR" w:eastAsia="fr-FR"/>
        </w:rPr>
        <w:t>en ayant</w:t>
      </w:r>
      <w:r w:rsidRPr="00C2548D">
        <w:rPr>
          <w:lang w:val="fr-FR" w:eastAsia="fr-FR"/>
        </w:rPr>
        <w:t xml:space="preserve"> connaissance</w:t>
      </w:r>
      <w:r w:rsidR="00F11B0F" w:rsidRPr="00C2548D">
        <w:rPr>
          <w:lang w:val="fr-FR" w:eastAsia="fr-FR"/>
        </w:rPr>
        <w:t>, la dénonciation de l</w:t>
      </w:r>
      <w:r w:rsidR="00C2548D">
        <w:rPr>
          <w:lang w:val="fr-FR" w:eastAsia="fr-FR"/>
        </w:rPr>
        <w:t>’</w:t>
      </w:r>
      <w:r w:rsidR="00F11B0F" w:rsidRPr="00C2548D">
        <w:rPr>
          <w:lang w:val="fr-FR" w:eastAsia="fr-FR"/>
        </w:rPr>
        <w:t>état d</w:t>
      </w:r>
      <w:r w:rsidR="00C2548D">
        <w:rPr>
          <w:lang w:val="fr-FR" w:eastAsia="fr-FR"/>
        </w:rPr>
        <w:t>’</w:t>
      </w:r>
      <w:r w:rsidR="00F11B0F" w:rsidRPr="00C2548D">
        <w:rPr>
          <w:lang w:val="fr-FR" w:eastAsia="fr-FR"/>
        </w:rPr>
        <w:t>abandon d</w:t>
      </w:r>
      <w:r w:rsidR="00C2548D">
        <w:rPr>
          <w:lang w:val="fr-FR" w:eastAsia="fr-FR"/>
        </w:rPr>
        <w:t>’</w:t>
      </w:r>
      <w:r w:rsidR="00F11B0F" w:rsidRPr="00C2548D">
        <w:rPr>
          <w:lang w:val="fr-FR" w:eastAsia="fr-FR"/>
        </w:rPr>
        <w:t>un mineur est même une obligation</w:t>
      </w:r>
      <w:r w:rsidRPr="00C2548D">
        <w:rPr>
          <w:lang w:val="fr-FR" w:eastAsia="fr-FR"/>
        </w:rPr>
        <w:t>.</w:t>
      </w:r>
      <w:r w:rsidR="00F11B0F" w:rsidRPr="00C2548D">
        <w:rPr>
          <w:lang w:val="fr-FR" w:eastAsia="fr-FR"/>
        </w:rPr>
        <w:t xml:space="preserve"> </w:t>
      </w:r>
      <w:r w:rsidRPr="00C2548D">
        <w:rPr>
          <w:lang w:val="fr-FR" w:eastAsia="fr-FR"/>
        </w:rPr>
        <w:t>Par ailleurs, les instituts d</w:t>
      </w:r>
      <w:r w:rsidR="00C2548D">
        <w:rPr>
          <w:lang w:val="fr-FR" w:eastAsia="fr-FR"/>
        </w:rPr>
        <w:t>’</w:t>
      </w:r>
      <w:r w:rsidRPr="00C2548D">
        <w:rPr>
          <w:lang w:val="fr-FR" w:eastAsia="fr-FR"/>
        </w:rPr>
        <w:t>assistance doivent informer régulièrement l</w:t>
      </w:r>
      <w:r w:rsidR="00C2548D">
        <w:rPr>
          <w:lang w:val="fr-FR" w:eastAsia="fr-FR"/>
        </w:rPr>
        <w:t>’</w:t>
      </w:r>
      <w:r w:rsidRPr="00C2548D">
        <w:rPr>
          <w:lang w:val="fr-FR" w:eastAsia="fr-FR"/>
        </w:rPr>
        <w:t>autorité judiciaire de la situation des mineurs qu</w:t>
      </w:r>
      <w:r w:rsidR="00C2548D">
        <w:rPr>
          <w:lang w:val="fr-FR" w:eastAsia="fr-FR"/>
        </w:rPr>
        <w:t>’</w:t>
      </w:r>
      <w:r w:rsidRPr="00C2548D">
        <w:rPr>
          <w:lang w:val="fr-FR" w:eastAsia="fr-FR"/>
        </w:rPr>
        <w:t>ils accueillent (article 9).</w:t>
      </w:r>
    </w:p>
    <w:p w:rsidR="0099454D" w:rsidRPr="00C2548D" w:rsidRDefault="0099454D" w:rsidP="0099454D">
      <w:pPr>
        <w:pStyle w:val="ECHRTitleCentre3"/>
        <w:rPr>
          <w:lang w:val="fr-FR"/>
        </w:rPr>
      </w:pPr>
      <w:r w:rsidRPr="00C2548D">
        <w:rPr>
          <w:lang w:val="fr-FR"/>
        </w:rPr>
        <w:t>Article 10</w:t>
      </w:r>
    </w:p>
    <w:p w:rsidR="0099454D" w:rsidRPr="00C2548D" w:rsidRDefault="0099454D" w:rsidP="00DF2FEA">
      <w:pPr>
        <w:pStyle w:val="ECHRParaQuote"/>
        <w:rPr>
          <w:lang w:val="fr-FR" w:eastAsia="fr-FR"/>
        </w:rPr>
      </w:pPr>
      <w:r w:rsidRPr="00C2548D">
        <w:rPr>
          <w:lang w:val="fr-FR" w:eastAsia="fr-FR"/>
        </w:rPr>
        <w:t>«</w:t>
      </w:r>
      <w:r w:rsidR="00B92E1D" w:rsidRPr="00C2548D">
        <w:rPr>
          <w:lang w:val="fr-FR" w:eastAsia="fr-FR"/>
        </w:rPr>
        <w:t> </w:t>
      </w:r>
      <w:r w:rsidRPr="00C2548D">
        <w:rPr>
          <w:lang w:val="fr-FR" w:eastAsia="fr-FR"/>
        </w:rPr>
        <w:t>Le tribunal peut ordonner, jusqu</w:t>
      </w:r>
      <w:r w:rsidR="00C2548D">
        <w:rPr>
          <w:lang w:val="fr-FR" w:eastAsia="fr-FR"/>
        </w:rPr>
        <w:t>’</w:t>
      </w:r>
      <w:r w:rsidRPr="00C2548D">
        <w:rPr>
          <w:lang w:val="fr-FR" w:eastAsia="fr-FR"/>
        </w:rPr>
        <w:t>au placement préadoptif du mineur dans la famille d</w:t>
      </w:r>
      <w:r w:rsidR="00C2548D">
        <w:rPr>
          <w:lang w:val="fr-FR" w:eastAsia="fr-FR"/>
        </w:rPr>
        <w:t>’</w:t>
      </w:r>
      <w:r w:rsidRPr="00C2548D">
        <w:rPr>
          <w:lang w:val="fr-FR" w:eastAsia="fr-FR"/>
        </w:rPr>
        <w:t>accueil, toute mesure temporaire dans l</w:t>
      </w:r>
      <w:r w:rsidR="00C2548D">
        <w:rPr>
          <w:lang w:val="fr-FR" w:eastAsia="fr-FR"/>
        </w:rPr>
        <w:t>’</w:t>
      </w:r>
      <w:r w:rsidRPr="00C2548D">
        <w:rPr>
          <w:lang w:val="fr-FR" w:eastAsia="fr-FR"/>
        </w:rPr>
        <w:t>intérêt du mineur, y compris, le cas échéant, la suspension de l</w:t>
      </w:r>
      <w:r w:rsidR="00C2548D">
        <w:rPr>
          <w:lang w:val="fr-FR" w:eastAsia="fr-FR"/>
        </w:rPr>
        <w:t>’</w:t>
      </w:r>
      <w:r w:rsidRPr="00C2548D">
        <w:rPr>
          <w:lang w:val="fr-FR" w:eastAsia="fr-FR"/>
        </w:rPr>
        <w:t>autorité parentale, la suspension des fonctions de tuteur ou la nomination d</w:t>
      </w:r>
      <w:r w:rsidR="00C2548D">
        <w:rPr>
          <w:lang w:val="fr-FR" w:eastAsia="fr-FR"/>
        </w:rPr>
        <w:t>’</w:t>
      </w:r>
      <w:r w:rsidRPr="00C2548D">
        <w:rPr>
          <w:lang w:val="fr-FR" w:eastAsia="fr-FR"/>
        </w:rPr>
        <w:t>un tuteur temporaire. »</w:t>
      </w:r>
    </w:p>
    <w:p w:rsidR="0099454D" w:rsidRPr="00C2548D" w:rsidRDefault="0099454D" w:rsidP="00DF2FEA">
      <w:pPr>
        <w:pStyle w:val="ECHRPara"/>
        <w:rPr>
          <w:lang w:val="fr-FR" w:eastAsia="fr-FR"/>
        </w:rPr>
      </w:pPr>
      <w:r w:rsidRPr="00C2548D">
        <w:rPr>
          <w:lang w:val="fr-FR" w:eastAsia="fr-FR"/>
        </w:rPr>
        <w:t xml:space="preserve">Les articles 11 à 14 prévoient une instruction visant à éclaircir la situation du mineur </w:t>
      </w:r>
      <w:r w:rsidR="00C75F3A" w:rsidRPr="00C2548D">
        <w:rPr>
          <w:lang w:val="fr-FR" w:eastAsia="fr-FR"/>
        </w:rPr>
        <w:t>afin d</w:t>
      </w:r>
      <w:r w:rsidR="00C2548D">
        <w:rPr>
          <w:lang w:val="fr-FR" w:eastAsia="fr-FR"/>
        </w:rPr>
        <w:t>’</w:t>
      </w:r>
      <w:r w:rsidRPr="00C2548D">
        <w:rPr>
          <w:lang w:val="fr-FR" w:eastAsia="fr-FR"/>
        </w:rPr>
        <w:t>établir si ce dernier se trouve en état d</w:t>
      </w:r>
      <w:r w:rsidR="00C2548D">
        <w:rPr>
          <w:lang w:val="fr-FR" w:eastAsia="fr-FR"/>
        </w:rPr>
        <w:t>’</w:t>
      </w:r>
      <w:r w:rsidRPr="00C2548D">
        <w:rPr>
          <w:lang w:val="fr-FR" w:eastAsia="fr-FR"/>
        </w:rPr>
        <w:t>abandon. En particulier, l</w:t>
      </w:r>
      <w:r w:rsidR="00C2548D">
        <w:rPr>
          <w:lang w:val="fr-FR" w:eastAsia="fr-FR"/>
        </w:rPr>
        <w:t>’</w:t>
      </w:r>
      <w:r w:rsidRPr="00C2548D">
        <w:rPr>
          <w:lang w:val="fr-FR" w:eastAsia="fr-FR"/>
        </w:rPr>
        <w:t>article 11 dispose que lorsque, au cours de l</w:t>
      </w:r>
      <w:r w:rsidR="00C2548D">
        <w:rPr>
          <w:lang w:val="fr-FR" w:eastAsia="fr-FR"/>
        </w:rPr>
        <w:t>’</w:t>
      </w:r>
      <w:r w:rsidRPr="00C2548D">
        <w:rPr>
          <w:lang w:val="fr-FR" w:eastAsia="fr-FR"/>
        </w:rPr>
        <w:t>enquête, il ressort que l</w:t>
      </w:r>
      <w:r w:rsidR="00C2548D">
        <w:rPr>
          <w:lang w:val="fr-FR" w:eastAsia="fr-FR"/>
        </w:rPr>
        <w:t>’</w:t>
      </w:r>
      <w:r w:rsidRPr="00C2548D">
        <w:rPr>
          <w:lang w:val="fr-FR" w:eastAsia="fr-FR"/>
        </w:rPr>
        <w:t>enfant n</w:t>
      </w:r>
      <w:r w:rsidR="00C2548D">
        <w:rPr>
          <w:lang w:val="fr-FR" w:eastAsia="fr-FR"/>
        </w:rPr>
        <w:t>’</w:t>
      </w:r>
      <w:r w:rsidRPr="00C2548D">
        <w:rPr>
          <w:lang w:val="fr-FR" w:eastAsia="fr-FR"/>
        </w:rPr>
        <w:t>a de rapports avec aucun membre de sa famille jusqu</w:t>
      </w:r>
      <w:r w:rsidR="00C2548D">
        <w:rPr>
          <w:lang w:val="fr-FR" w:eastAsia="fr-FR"/>
        </w:rPr>
        <w:t>’</w:t>
      </w:r>
      <w:r w:rsidRPr="00C2548D">
        <w:rPr>
          <w:lang w:val="fr-FR" w:eastAsia="fr-FR"/>
        </w:rPr>
        <w:t xml:space="preserve">au quatrième degré, le tribunal peut </w:t>
      </w:r>
      <w:r w:rsidR="00C75F3A" w:rsidRPr="00C2548D">
        <w:rPr>
          <w:lang w:val="fr-FR" w:eastAsia="fr-FR"/>
        </w:rPr>
        <w:t xml:space="preserve">le </w:t>
      </w:r>
      <w:r w:rsidRPr="00C2548D">
        <w:rPr>
          <w:lang w:val="fr-FR" w:eastAsia="fr-FR"/>
        </w:rPr>
        <w:t xml:space="preserve">déclarer </w:t>
      </w:r>
      <w:r w:rsidR="00C75F3A" w:rsidRPr="00C2548D">
        <w:rPr>
          <w:lang w:val="fr-FR" w:eastAsia="fr-FR"/>
        </w:rPr>
        <w:t xml:space="preserve">adoptable, </w:t>
      </w:r>
      <w:r w:rsidRPr="00C2548D">
        <w:rPr>
          <w:lang w:val="fr-FR" w:eastAsia="fr-FR"/>
        </w:rPr>
        <w:t>sauf s</w:t>
      </w:r>
      <w:r w:rsidR="00C2548D">
        <w:rPr>
          <w:lang w:val="fr-FR" w:eastAsia="fr-FR"/>
        </w:rPr>
        <w:t>’</w:t>
      </w:r>
      <w:r w:rsidRPr="00C2548D">
        <w:rPr>
          <w:lang w:val="fr-FR" w:eastAsia="fr-FR"/>
        </w:rPr>
        <w:t>il existe une demande d</w:t>
      </w:r>
      <w:r w:rsidR="00C2548D">
        <w:rPr>
          <w:lang w:val="fr-FR" w:eastAsia="fr-FR"/>
        </w:rPr>
        <w:t>’</w:t>
      </w:r>
      <w:bookmarkStart w:id="10" w:name="HIT16"/>
      <w:bookmarkEnd w:id="10"/>
      <w:r w:rsidRPr="00C2548D">
        <w:rPr>
          <w:lang w:val="fr-FR" w:eastAsia="fr-FR"/>
        </w:rPr>
        <w:t>adoption au sens de l</w:t>
      </w:r>
      <w:r w:rsidR="00C2548D">
        <w:rPr>
          <w:lang w:val="fr-FR" w:eastAsia="fr-FR"/>
        </w:rPr>
        <w:t>’</w:t>
      </w:r>
      <w:r w:rsidRPr="00C2548D">
        <w:rPr>
          <w:lang w:val="fr-FR" w:eastAsia="fr-FR"/>
        </w:rPr>
        <w:t>article 44.</w:t>
      </w:r>
    </w:p>
    <w:p w:rsidR="0099454D" w:rsidRPr="00C2548D" w:rsidRDefault="0099454D" w:rsidP="00DF2FEA">
      <w:pPr>
        <w:pStyle w:val="ECHRPara"/>
        <w:rPr>
          <w:lang w:val="fr-FR" w:eastAsia="fr-FR"/>
        </w:rPr>
      </w:pPr>
      <w:r w:rsidRPr="00C2548D">
        <w:rPr>
          <w:lang w:val="fr-FR" w:eastAsia="fr-FR"/>
        </w:rPr>
        <w:t>À l</w:t>
      </w:r>
      <w:r w:rsidR="00C2548D">
        <w:rPr>
          <w:lang w:val="fr-FR" w:eastAsia="fr-FR"/>
        </w:rPr>
        <w:t>’</w:t>
      </w:r>
      <w:r w:rsidRPr="00C2548D">
        <w:rPr>
          <w:lang w:val="fr-FR" w:eastAsia="fr-FR"/>
        </w:rPr>
        <w:t>issue de la procédure prévue par ces derniers articles, si l</w:t>
      </w:r>
      <w:r w:rsidR="00C2548D">
        <w:rPr>
          <w:lang w:val="fr-FR" w:eastAsia="fr-FR"/>
        </w:rPr>
        <w:t>’</w:t>
      </w:r>
      <w:r w:rsidRPr="00C2548D">
        <w:rPr>
          <w:lang w:val="fr-FR" w:eastAsia="fr-FR"/>
        </w:rPr>
        <w:t>état d</w:t>
      </w:r>
      <w:r w:rsidR="00C2548D">
        <w:rPr>
          <w:lang w:val="fr-FR" w:eastAsia="fr-FR"/>
        </w:rPr>
        <w:t>’</w:t>
      </w:r>
      <w:r w:rsidRPr="00C2548D">
        <w:rPr>
          <w:lang w:val="fr-FR" w:eastAsia="fr-FR"/>
        </w:rPr>
        <w:t>abandon au sens de l</w:t>
      </w:r>
      <w:r w:rsidR="00C2548D">
        <w:rPr>
          <w:lang w:val="fr-FR" w:eastAsia="fr-FR"/>
        </w:rPr>
        <w:t>’</w:t>
      </w:r>
      <w:r w:rsidRPr="00C2548D">
        <w:rPr>
          <w:lang w:val="fr-FR" w:eastAsia="fr-FR"/>
        </w:rPr>
        <w:t xml:space="preserve">article 8 persiste, le </w:t>
      </w:r>
      <w:r w:rsidR="00EE431A" w:rsidRPr="00C2548D">
        <w:rPr>
          <w:lang w:val="fr-FR" w:eastAsia="fr-FR"/>
        </w:rPr>
        <w:t>tribunal des affaires d</w:t>
      </w:r>
      <w:r w:rsidR="00C2548D">
        <w:rPr>
          <w:lang w:val="fr-FR" w:eastAsia="fr-FR"/>
        </w:rPr>
        <w:t>’</w:t>
      </w:r>
      <w:r w:rsidR="00EE431A" w:rsidRPr="00C2548D">
        <w:rPr>
          <w:lang w:val="fr-FR" w:eastAsia="fr-FR"/>
        </w:rPr>
        <w:t>enfants</w:t>
      </w:r>
      <w:r w:rsidRPr="00C2548D">
        <w:rPr>
          <w:lang w:val="fr-FR" w:eastAsia="fr-FR"/>
        </w:rPr>
        <w:t xml:space="preserve"> déclare le mineur adoptable </w:t>
      </w:r>
      <w:r w:rsidR="00C75F3A" w:rsidRPr="00C2548D">
        <w:rPr>
          <w:lang w:val="fr-FR" w:eastAsia="fr-FR"/>
        </w:rPr>
        <w:t>dans les cas suivants </w:t>
      </w:r>
      <w:r w:rsidRPr="00C2548D">
        <w:rPr>
          <w:lang w:val="fr-FR" w:eastAsia="fr-FR"/>
        </w:rPr>
        <w:t>: a) les parents ou les autres membres de la famille ne se sont pas présentés au cours de la procédure ;</w:t>
      </w:r>
      <w:r w:rsidR="00C75F3A" w:rsidRPr="00C2548D">
        <w:rPr>
          <w:lang w:val="fr-FR" w:eastAsia="fr-FR"/>
        </w:rPr>
        <w:t xml:space="preserve"> </w:t>
      </w:r>
      <w:r w:rsidRPr="00C2548D">
        <w:rPr>
          <w:lang w:val="fr-FR" w:eastAsia="fr-FR"/>
        </w:rPr>
        <w:t>b) leur audition a démontré la persistance du manque d</w:t>
      </w:r>
      <w:r w:rsidR="00C2548D">
        <w:rPr>
          <w:lang w:val="fr-FR" w:eastAsia="fr-FR"/>
        </w:rPr>
        <w:t>’</w:t>
      </w:r>
      <w:r w:rsidRPr="00C2548D">
        <w:rPr>
          <w:lang w:val="fr-FR" w:eastAsia="fr-FR"/>
        </w:rPr>
        <w:t>assistance morale et matérielle ainsi que l</w:t>
      </w:r>
      <w:r w:rsidR="00C2548D">
        <w:rPr>
          <w:lang w:val="fr-FR" w:eastAsia="fr-FR"/>
        </w:rPr>
        <w:t>’</w:t>
      </w:r>
      <w:r w:rsidRPr="00C2548D">
        <w:rPr>
          <w:lang w:val="fr-FR" w:eastAsia="fr-FR"/>
        </w:rPr>
        <w:t>incapacité des intéressés à y remédier ; c) les prescriptions imposées en application de l</w:t>
      </w:r>
      <w:r w:rsidR="00C2548D">
        <w:rPr>
          <w:lang w:val="fr-FR" w:eastAsia="fr-FR"/>
        </w:rPr>
        <w:t>’</w:t>
      </w:r>
      <w:r w:rsidRPr="00C2548D">
        <w:rPr>
          <w:lang w:val="fr-FR" w:eastAsia="fr-FR"/>
        </w:rPr>
        <w:t>article 12 n</w:t>
      </w:r>
      <w:r w:rsidR="00C2548D">
        <w:rPr>
          <w:lang w:val="fr-FR" w:eastAsia="fr-FR"/>
        </w:rPr>
        <w:t>’</w:t>
      </w:r>
      <w:r w:rsidRPr="00C2548D">
        <w:rPr>
          <w:lang w:val="fr-FR" w:eastAsia="fr-FR"/>
        </w:rPr>
        <w:t>ont</w:t>
      </w:r>
      <w:r w:rsidR="00C75F3A" w:rsidRPr="00C2548D">
        <w:rPr>
          <w:lang w:val="fr-FR" w:eastAsia="fr-FR"/>
        </w:rPr>
        <w:t>, par la faute des parents,</w:t>
      </w:r>
      <w:r w:rsidRPr="00C2548D">
        <w:rPr>
          <w:lang w:val="fr-FR" w:eastAsia="fr-FR"/>
        </w:rPr>
        <w:t xml:space="preserve"> pas été exécutées.</w:t>
      </w:r>
    </w:p>
    <w:p w:rsidR="0099454D" w:rsidRPr="00C2548D" w:rsidRDefault="0099454D" w:rsidP="0099454D">
      <w:pPr>
        <w:pStyle w:val="ECHRTitleCentre3"/>
        <w:rPr>
          <w:lang w:val="fr-FR"/>
        </w:rPr>
      </w:pPr>
      <w:r w:rsidRPr="00C2548D">
        <w:rPr>
          <w:lang w:val="fr-FR"/>
        </w:rPr>
        <w:t>Article 15</w:t>
      </w:r>
    </w:p>
    <w:p w:rsidR="0099454D" w:rsidRPr="000E6D7E" w:rsidRDefault="0099454D" w:rsidP="00DF2FEA">
      <w:pPr>
        <w:pStyle w:val="ECHRParaQuote"/>
        <w:rPr>
          <w:lang w:val="fr-FR" w:eastAsia="fr-FR"/>
        </w:rPr>
      </w:pPr>
      <w:r w:rsidRPr="000E6D7E">
        <w:rPr>
          <w:lang w:val="fr-FR" w:eastAsia="fr-FR"/>
        </w:rPr>
        <w:t>« La déclaration d</w:t>
      </w:r>
      <w:r w:rsidR="00C2548D">
        <w:rPr>
          <w:lang w:val="fr-FR" w:eastAsia="fr-FR"/>
        </w:rPr>
        <w:t>’</w:t>
      </w:r>
      <w:r w:rsidRPr="000E6D7E">
        <w:rPr>
          <w:lang w:val="fr-FR" w:eastAsia="fr-FR"/>
        </w:rPr>
        <w:t>état d</w:t>
      </w:r>
      <w:r w:rsidR="00C2548D">
        <w:rPr>
          <w:lang w:val="fr-FR" w:eastAsia="fr-FR"/>
        </w:rPr>
        <w:t>’</w:t>
      </w:r>
      <w:r w:rsidRPr="000E6D7E">
        <w:rPr>
          <w:lang w:val="fr-FR" w:eastAsia="fr-FR"/>
        </w:rPr>
        <w:t xml:space="preserve">adoptabilité est prononcée par le </w:t>
      </w:r>
      <w:r w:rsidR="00EE431A" w:rsidRPr="000E6D7E">
        <w:rPr>
          <w:lang w:val="fr-FR" w:eastAsia="fr-FR"/>
        </w:rPr>
        <w:t>tribunal des affaires d</w:t>
      </w:r>
      <w:r w:rsidR="00C2548D">
        <w:rPr>
          <w:lang w:val="fr-FR" w:eastAsia="fr-FR"/>
        </w:rPr>
        <w:t>’</w:t>
      </w:r>
      <w:r w:rsidR="00EE431A" w:rsidRPr="000E6D7E">
        <w:rPr>
          <w:lang w:val="fr-FR" w:eastAsia="fr-FR"/>
        </w:rPr>
        <w:t>enfants</w:t>
      </w:r>
      <w:r w:rsidRPr="000E6D7E">
        <w:rPr>
          <w:lang w:val="fr-FR" w:eastAsia="fr-FR"/>
        </w:rPr>
        <w:t xml:space="preserve"> siégeant en chambre du conseil </w:t>
      </w:r>
      <w:r w:rsidR="006767B6" w:rsidRPr="000E6D7E">
        <w:rPr>
          <w:lang w:val="fr-FR" w:eastAsia="fr-FR"/>
        </w:rPr>
        <w:t>par une décision</w:t>
      </w:r>
      <w:r w:rsidRPr="000E6D7E">
        <w:rPr>
          <w:lang w:val="fr-FR" w:eastAsia="fr-FR"/>
        </w:rPr>
        <w:t xml:space="preserve"> motivée, après </w:t>
      </w:r>
      <w:r w:rsidR="008324D3" w:rsidRPr="000E6D7E">
        <w:rPr>
          <w:lang w:val="fr-FR" w:eastAsia="fr-FR"/>
        </w:rPr>
        <w:t>audition du</w:t>
      </w:r>
      <w:r w:rsidRPr="000E6D7E">
        <w:rPr>
          <w:lang w:val="fr-FR" w:eastAsia="fr-FR"/>
        </w:rPr>
        <w:t xml:space="preserve"> ministère public, </w:t>
      </w:r>
      <w:r w:rsidR="008324D3" w:rsidRPr="000E6D7E">
        <w:rPr>
          <w:lang w:val="fr-FR" w:eastAsia="fr-FR"/>
        </w:rPr>
        <w:t xml:space="preserve">du </w:t>
      </w:r>
      <w:r w:rsidRPr="000E6D7E">
        <w:rPr>
          <w:lang w:val="fr-FR" w:eastAsia="fr-FR"/>
        </w:rPr>
        <w:t>représentant de l</w:t>
      </w:r>
      <w:r w:rsidR="00C2548D">
        <w:rPr>
          <w:lang w:val="fr-FR" w:eastAsia="fr-FR"/>
        </w:rPr>
        <w:t>’</w:t>
      </w:r>
      <w:r w:rsidRPr="000E6D7E">
        <w:rPr>
          <w:lang w:val="fr-FR" w:eastAsia="fr-FR"/>
        </w:rPr>
        <w:t>institut auprès duquel le mineur a été placé ou de son éventuelle famille d</w:t>
      </w:r>
      <w:r w:rsidR="00C2548D">
        <w:rPr>
          <w:lang w:val="fr-FR" w:eastAsia="fr-FR"/>
        </w:rPr>
        <w:t>’</w:t>
      </w:r>
      <w:r w:rsidRPr="000E6D7E">
        <w:rPr>
          <w:lang w:val="fr-FR" w:eastAsia="fr-FR"/>
        </w:rPr>
        <w:t xml:space="preserve">accueil, </w:t>
      </w:r>
      <w:r w:rsidR="008324D3" w:rsidRPr="000E6D7E">
        <w:rPr>
          <w:lang w:val="fr-FR" w:eastAsia="fr-FR"/>
        </w:rPr>
        <w:t xml:space="preserve">du </w:t>
      </w:r>
      <w:r w:rsidRPr="000E6D7E">
        <w:rPr>
          <w:lang w:val="fr-FR" w:eastAsia="fr-FR"/>
        </w:rPr>
        <w:t xml:space="preserve">tuteur et </w:t>
      </w:r>
      <w:r w:rsidR="008324D3" w:rsidRPr="000E6D7E">
        <w:rPr>
          <w:lang w:val="fr-FR" w:eastAsia="fr-FR"/>
        </w:rPr>
        <w:t xml:space="preserve">du </w:t>
      </w:r>
      <w:r w:rsidRPr="000E6D7E">
        <w:rPr>
          <w:lang w:val="fr-FR" w:eastAsia="fr-FR"/>
        </w:rPr>
        <w:t>mineur lui-même s</w:t>
      </w:r>
      <w:r w:rsidR="00C2548D">
        <w:rPr>
          <w:lang w:val="fr-FR" w:eastAsia="fr-FR"/>
        </w:rPr>
        <w:t>’</w:t>
      </w:r>
      <w:r w:rsidRPr="000E6D7E">
        <w:rPr>
          <w:lang w:val="fr-FR" w:eastAsia="fr-FR"/>
        </w:rPr>
        <w:t xml:space="preserve">il est âgé de plus de douze ans ou, </w:t>
      </w:r>
      <w:r w:rsidR="008324D3" w:rsidRPr="000E6D7E">
        <w:rPr>
          <w:lang w:val="fr-FR" w:eastAsia="fr-FR"/>
        </w:rPr>
        <w:t>en</w:t>
      </w:r>
      <w:r w:rsidR="00EB0A3F" w:rsidRPr="000E6D7E">
        <w:rPr>
          <w:lang w:val="fr-FR" w:eastAsia="fr-FR"/>
        </w:rPr>
        <w:t xml:space="preserve"> </w:t>
      </w:r>
      <w:r w:rsidR="008324D3" w:rsidRPr="000E6D7E">
        <w:rPr>
          <w:lang w:val="fr-FR" w:eastAsia="fr-FR"/>
        </w:rPr>
        <w:t>dessous de cet âge</w:t>
      </w:r>
      <w:r w:rsidRPr="000E6D7E">
        <w:rPr>
          <w:lang w:val="fr-FR" w:eastAsia="fr-FR"/>
        </w:rPr>
        <w:t>, s</w:t>
      </w:r>
      <w:r w:rsidR="000E6D7E" w:rsidRPr="000E6D7E">
        <w:rPr>
          <w:lang w:val="fr-FR" w:eastAsia="fr-FR"/>
        </w:rPr>
        <w:t>i son audition est nécessaire</w:t>
      </w:r>
      <w:r w:rsidR="000E6D7E">
        <w:rPr>
          <w:lang w:val="fr-FR" w:eastAsia="fr-FR"/>
        </w:rPr>
        <w:t>.</w:t>
      </w:r>
      <w:r w:rsidR="000E6D7E" w:rsidRPr="000E6D7E">
        <w:rPr>
          <w:lang w:val="fr-FR" w:eastAsia="fr-FR"/>
        </w:rPr>
        <w:t> »</w:t>
      </w:r>
    </w:p>
    <w:p w:rsidR="0099454D" w:rsidRPr="00C2548D" w:rsidRDefault="0099454D" w:rsidP="0099454D">
      <w:pPr>
        <w:pStyle w:val="ECHRTitleCentre3"/>
        <w:rPr>
          <w:lang w:val="fr-FR"/>
        </w:rPr>
      </w:pPr>
      <w:r w:rsidRPr="00C2548D">
        <w:rPr>
          <w:lang w:val="fr-FR"/>
        </w:rPr>
        <w:t>Article 17</w:t>
      </w:r>
    </w:p>
    <w:p w:rsidR="0099454D" w:rsidRPr="00C2548D" w:rsidRDefault="0099454D" w:rsidP="00DF2FEA">
      <w:pPr>
        <w:pStyle w:val="ECHRParaQuote"/>
        <w:rPr>
          <w:lang w:val="fr-FR" w:eastAsia="fr-FR"/>
        </w:rPr>
      </w:pPr>
      <w:r w:rsidRPr="00C2548D">
        <w:rPr>
          <w:lang w:val="fr-FR" w:eastAsia="fr-FR"/>
        </w:rPr>
        <w:t>« L</w:t>
      </w:r>
      <w:r w:rsidR="00C2548D">
        <w:rPr>
          <w:lang w:val="fr-FR" w:eastAsia="fr-FR"/>
        </w:rPr>
        <w:t>’</w:t>
      </w:r>
      <w:r w:rsidRPr="00C2548D">
        <w:rPr>
          <w:lang w:val="fr-FR" w:eastAsia="fr-FR"/>
        </w:rPr>
        <w:t>opposition à la décision déclarant un mineur adoptable doit être déposée dans un délai de trente jours à partir de la date de la communication à la partie requérante.</w:t>
      </w:r>
    </w:p>
    <w:p w:rsidR="0099454D" w:rsidRPr="000E6D7E" w:rsidRDefault="0099454D" w:rsidP="00DF2FEA">
      <w:pPr>
        <w:pStyle w:val="ECHRParaQuote"/>
        <w:rPr>
          <w:lang w:val="fr-FR" w:eastAsia="fr-FR"/>
        </w:rPr>
      </w:pPr>
      <w:r w:rsidRPr="000E6D7E">
        <w:rPr>
          <w:lang w:val="fr-FR" w:eastAsia="fr-FR"/>
        </w:rPr>
        <w:t>L</w:t>
      </w:r>
      <w:r w:rsidR="00C2548D">
        <w:rPr>
          <w:lang w:val="fr-FR" w:eastAsia="fr-FR"/>
        </w:rPr>
        <w:t>’</w:t>
      </w:r>
      <w:r w:rsidRPr="000E6D7E">
        <w:rPr>
          <w:lang w:val="fr-FR" w:eastAsia="fr-FR"/>
        </w:rPr>
        <w:t>arrêt de la cour d</w:t>
      </w:r>
      <w:r w:rsidR="00C2548D">
        <w:rPr>
          <w:lang w:val="fr-FR" w:eastAsia="fr-FR"/>
        </w:rPr>
        <w:t>’</w:t>
      </w:r>
      <w:r w:rsidRPr="000E6D7E">
        <w:rPr>
          <w:lang w:val="fr-FR" w:eastAsia="fr-FR"/>
        </w:rPr>
        <w:t>appel qui déclare l</w:t>
      </w:r>
      <w:r w:rsidR="00C2548D">
        <w:rPr>
          <w:lang w:val="fr-FR" w:eastAsia="fr-FR"/>
        </w:rPr>
        <w:t>’</w:t>
      </w:r>
      <w:r w:rsidRPr="000E6D7E">
        <w:rPr>
          <w:lang w:val="fr-FR" w:eastAsia="fr-FR"/>
        </w:rPr>
        <w:t>état d</w:t>
      </w:r>
      <w:r w:rsidR="00C2548D">
        <w:rPr>
          <w:lang w:val="fr-FR" w:eastAsia="fr-FR"/>
        </w:rPr>
        <w:t>’</w:t>
      </w:r>
      <w:r w:rsidRPr="000E6D7E">
        <w:rPr>
          <w:lang w:val="fr-FR" w:eastAsia="fr-FR"/>
        </w:rPr>
        <w:t>adoptabilité peut faire l</w:t>
      </w:r>
      <w:r w:rsidR="00C2548D">
        <w:rPr>
          <w:lang w:val="fr-FR" w:eastAsia="fr-FR"/>
        </w:rPr>
        <w:t>’</w:t>
      </w:r>
      <w:r w:rsidRPr="000E6D7E">
        <w:rPr>
          <w:lang w:val="fr-FR" w:eastAsia="fr-FR"/>
        </w:rPr>
        <w:t>objet d</w:t>
      </w:r>
      <w:r w:rsidR="00C2548D">
        <w:rPr>
          <w:lang w:val="fr-FR" w:eastAsia="fr-FR"/>
        </w:rPr>
        <w:t>’</w:t>
      </w:r>
      <w:r w:rsidRPr="000E6D7E">
        <w:rPr>
          <w:lang w:val="fr-FR" w:eastAsia="fr-FR"/>
        </w:rPr>
        <w:t>un pourvoi en cassation dans un délai de 30 jours à partir de la date de la notification pour les motifs prévus aux numéros 3, 4, 5 du premier alinéa de l</w:t>
      </w:r>
      <w:r w:rsidR="00C2548D">
        <w:rPr>
          <w:lang w:val="fr-FR" w:eastAsia="fr-FR"/>
        </w:rPr>
        <w:t>’</w:t>
      </w:r>
      <w:r w:rsidRPr="000E6D7E">
        <w:rPr>
          <w:lang w:val="fr-FR" w:eastAsia="fr-FR"/>
        </w:rPr>
        <w:t xml:space="preserve">article 360 du code de </w:t>
      </w:r>
      <w:r w:rsidR="000E6D7E" w:rsidRPr="000E6D7E">
        <w:rPr>
          <w:lang w:val="fr-FR" w:eastAsia="fr-FR"/>
        </w:rPr>
        <w:t>procédure civil</w:t>
      </w:r>
      <w:r w:rsidR="000E6D7E">
        <w:rPr>
          <w:lang w:val="fr-FR" w:eastAsia="fr-FR"/>
        </w:rPr>
        <w:t>.</w:t>
      </w:r>
      <w:r w:rsidR="000E6D7E" w:rsidRPr="000E6D7E">
        <w:rPr>
          <w:lang w:val="fr-FR" w:eastAsia="fr-FR"/>
        </w:rPr>
        <w:t>e »</w:t>
      </w:r>
    </w:p>
    <w:p w:rsidR="0099454D" w:rsidRPr="00C2548D" w:rsidRDefault="0099454D" w:rsidP="0099454D">
      <w:pPr>
        <w:pStyle w:val="ECHRTitleCentre3"/>
        <w:rPr>
          <w:lang w:val="fr-FR"/>
        </w:rPr>
      </w:pPr>
      <w:r w:rsidRPr="00C2548D">
        <w:rPr>
          <w:lang w:val="fr-FR"/>
        </w:rPr>
        <w:t>Article 19</w:t>
      </w:r>
    </w:p>
    <w:p w:rsidR="0099454D" w:rsidRPr="000E6D7E" w:rsidRDefault="0099454D" w:rsidP="00DF2FEA">
      <w:pPr>
        <w:pStyle w:val="ECHRParaQuote"/>
        <w:rPr>
          <w:lang w:val="fr-FR" w:eastAsia="fr-FR"/>
        </w:rPr>
      </w:pPr>
      <w:r w:rsidRPr="000E6D7E">
        <w:rPr>
          <w:lang w:val="fr-FR" w:eastAsia="fr-FR"/>
        </w:rPr>
        <w:t>« Pendant la procédure visant à la déclaration d</w:t>
      </w:r>
      <w:r w:rsidR="00C2548D">
        <w:rPr>
          <w:lang w:val="fr-FR" w:eastAsia="fr-FR"/>
        </w:rPr>
        <w:t>’</w:t>
      </w:r>
      <w:r w:rsidRPr="000E6D7E">
        <w:rPr>
          <w:lang w:val="fr-FR" w:eastAsia="fr-FR"/>
        </w:rPr>
        <w:t>adoptabilité, l</w:t>
      </w:r>
      <w:r w:rsidR="00C2548D">
        <w:rPr>
          <w:lang w:val="fr-FR" w:eastAsia="fr-FR"/>
        </w:rPr>
        <w:t>’</w:t>
      </w:r>
      <w:r w:rsidRPr="000E6D7E">
        <w:rPr>
          <w:lang w:val="fr-FR" w:eastAsia="fr-FR"/>
        </w:rPr>
        <w:t>exercice de l</w:t>
      </w:r>
      <w:r w:rsidR="00C2548D">
        <w:rPr>
          <w:lang w:val="fr-FR" w:eastAsia="fr-FR"/>
        </w:rPr>
        <w:t>’</w:t>
      </w:r>
      <w:r w:rsidRPr="000E6D7E">
        <w:rPr>
          <w:lang w:val="fr-FR" w:eastAsia="fr-FR"/>
        </w:rPr>
        <w:t>autorité parentale est susp</w:t>
      </w:r>
      <w:r w:rsidR="000E6D7E" w:rsidRPr="000E6D7E">
        <w:rPr>
          <w:lang w:val="fr-FR" w:eastAsia="fr-FR"/>
        </w:rPr>
        <w:t>endu</w:t>
      </w:r>
      <w:r w:rsidR="000E6D7E">
        <w:rPr>
          <w:lang w:val="fr-FR" w:eastAsia="fr-FR"/>
        </w:rPr>
        <w:t>.</w:t>
      </w:r>
      <w:r w:rsidR="000E6D7E" w:rsidRPr="000E6D7E">
        <w:rPr>
          <w:lang w:val="fr-FR" w:eastAsia="fr-FR"/>
        </w:rPr>
        <w:t> »</w:t>
      </w:r>
    </w:p>
    <w:p w:rsidR="0099454D" w:rsidRPr="00C2548D" w:rsidRDefault="0099454D" w:rsidP="00DF2FEA">
      <w:pPr>
        <w:pStyle w:val="ECHRPara"/>
        <w:rPr>
          <w:lang w:val="fr-FR" w:eastAsia="fr-FR"/>
        </w:rPr>
      </w:pPr>
      <w:r w:rsidRPr="00C2548D">
        <w:rPr>
          <w:lang w:val="fr-FR" w:eastAsia="fr-FR"/>
        </w:rPr>
        <w:t>L</w:t>
      </w:r>
      <w:r w:rsidR="00C2548D">
        <w:rPr>
          <w:lang w:val="fr-FR" w:eastAsia="fr-FR"/>
        </w:rPr>
        <w:t>’</w:t>
      </w:r>
      <w:r w:rsidRPr="00C2548D">
        <w:rPr>
          <w:lang w:val="fr-FR" w:eastAsia="fr-FR"/>
        </w:rPr>
        <w:t>article 20 prévoit enfin que l</w:t>
      </w:r>
      <w:r w:rsidR="00C2548D">
        <w:rPr>
          <w:lang w:val="fr-FR" w:eastAsia="fr-FR"/>
        </w:rPr>
        <w:t>’</w:t>
      </w:r>
      <w:r w:rsidRPr="00C2548D">
        <w:rPr>
          <w:lang w:val="fr-FR" w:eastAsia="fr-FR"/>
        </w:rPr>
        <w:t>état d</w:t>
      </w:r>
      <w:r w:rsidR="00C2548D">
        <w:rPr>
          <w:lang w:val="fr-FR" w:eastAsia="fr-FR"/>
        </w:rPr>
        <w:t>’</w:t>
      </w:r>
      <w:r w:rsidRPr="00C2548D">
        <w:rPr>
          <w:lang w:val="fr-FR" w:eastAsia="fr-FR"/>
        </w:rPr>
        <w:t>adoptabilité cesse au moment où le mineur est adopté ou si ce dernier devient majeur. Par ailleurs, la déclaration d</w:t>
      </w:r>
      <w:r w:rsidR="00C2548D">
        <w:rPr>
          <w:lang w:val="fr-FR" w:eastAsia="fr-FR"/>
        </w:rPr>
        <w:t>’</w:t>
      </w:r>
      <w:r w:rsidRPr="00C2548D">
        <w:rPr>
          <w:lang w:val="fr-FR" w:eastAsia="fr-FR"/>
        </w:rPr>
        <w:t>adoptabilité peut être révoquée, d</w:t>
      </w:r>
      <w:r w:rsidR="00C2548D">
        <w:rPr>
          <w:lang w:val="fr-FR" w:eastAsia="fr-FR"/>
        </w:rPr>
        <w:t>’</w:t>
      </w:r>
      <w:r w:rsidRPr="00C2548D">
        <w:rPr>
          <w:lang w:val="fr-FR" w:eastAsia="fr-FR"/>
        </w:rPr>
        <w:t>office ou sur demande des parents ou du ministère public, si les conditions prévues par l</w:t>
      </w:r>
      <w:r w:rsidR="00C2548D">
        <w:rPr>
          <w:lang w:val="fr-FR" w:eastAsia="fr-FR"/>
        </w:rPr>
        <w:t>’</w:t>
      </w:r>
      <w:r w:rsidRPr="00C2548D">
        <w:rPr>
          <w:lang w:val="fr-FR" w:eastAsia="fr-FR"/>
        </w:rPr>
        <w:t>article 8 ont entre-temps disparu.</w:t>
      </w:r>
      <w:r w:rsidRPr="00C2548D">
        <w:rPr>
          <w:bCs/>
          <w:lang w:val="fr-FR" w:eastAsia="fr-FR"/>
        </w:rPr>
        <w:t xml:space="preserve"> </w:t>
      </w:r>
      <w:r w:rsidRPr="00C2548D">
        <w:rPr>
          <w:lang w:val="fr-FR" w:eastAsia="fr-FR"/>
        </w:rPr>
        <w:t xml:space="preserve">Cependant, si le mineur a été placé dans une famille </w:t>
      </w:r>
      <w:bookmarkStart w:id="11" w:name="HIT17"/>
      <w:bookmarkEnd w:id="11"/>
      <w:r w:rsidR="00D67D7C" w:rsidRPr="00C2548D">
        <w:rPr>
          <w:lang w:val="fr-FR" w:eastAsia="fr-FR"/>
        </w:rPr>
        <w:t>à titre préadoptif</w:t>
      </w:r>
      <w:r w:rsidRPr="00C2548D">
        <w:rPr>
          <w:lang w:val="fr-FR" w:eastAsia="fr-FR"/>
        </w:rPr>
        <w:t xml:space="preserve"> (</w:t>
      </w:r>
      <w:r w:rsidR="00B92E1D" w:rsidRPr="00C2548D">
        <w:rPr>
          <w:lang w:val="fr-FR" w:eastAsia="fr-FR"/>
        </w:rPr>
        <w:t>« </w:t>
      </w:r>
      <w:r w:rsidRPr="00C2548D">
        <w:rPr>
          <w:i/>
          <w:iCs/>
          <w:lang w:val="fr-FR" w:eastAsia="fr-FR"/>
        </w:rPr>
        <w:t>affidamento preadottivo</w:t>
      </w:r>
      <w:r w:rsidR="00B92E1D" w:rsidRPr="00C2548D">
        <w:rPr>
          <w:lang w:val="fr-FR" w:eastAsia="fr-FR"/>
        </w:rPr>
        <w:t> »</w:t>
      </w:r>
      <w:r w:rsidRPr="00C2548D">
        <w:rPr>
          <w:lang w:val="fr-FR" w:eastAsia="fr-FR"/>
        </w:rPr>
        <w:t>) au sens des articles 22 à 24, la déclaration d</w:t>
      </w:r>
      <w:r w:rsidR="00C2548D">
        <w:rPr>
          <w:lang w:val="fr-FR" w:eastAsia="fr-FR"/>
        </w:rPr>
        <w:t>’</w:t>
      </w:r>
      <w:r w:rsidRPr="00C2548D">
        <w:rPr>
          <w:lang w:val="fr-FR" w:eastAsia="fr-FR"/>
        </w:rPr>
        <w:t>adoptabilité ne peut pas être révoquée.</w:t>
      </w:r>
    </w:p>
    <w:p w:rsidR="0099454D" w:rsidRPr="00C2548D" w:rsidRDefault="0099454D" w:rsidP="00DF2FEA">
      <w:pPr>
        <w:pStyle w:val="ECHRPara"/>
        <w:rPr>
          <w:lang w:val="fr-FR" w:eastAsia="fr-FR"/>
        </w:rPr>
      </w:pPr>
      <w:r w:rsidRPr="00C2548D">
        <w:rPr>
          <w:lang w:val="fr-FR" w:eastAsia="fr-FR"/>
        </w:rPr>
        <w:t>L</w:t>
      </w:r>
      <w:r w:rsidR="00C2548D">
        <w:rPr>
          <w:lang w:val="fr-FR" w:eastAsia="fr-FR"/>
        </w:rPr>
        <w:t>’</w:t>
      </w:r>
      <w:r w:rsidRPr="00C2548D">
        <w:rPr>
          <w:lang w:val="fr-FR" w:eastAsia="fr-FR"/>
        </w:rPr>
        <w:t xml:space="preserve">article 22 § 8 prévoit que le </w:t>
      </w:r>
      <w:r w:rsidR="00EE431A" w:rsidRPr="00C2548D">
        <w:rPr>
          <w:lang w:val="fr-FR" w:eastAsia="fr-FR"/>
        </w:rPr>
        <w:t xml:space="preserve">tribunal </w:t>
      </w:r>
      <w:r w:rsidR="00CC7130" w:rsidRPr="00C2548D">
        <w:rPr>
          <w:lang w:val="fr-FR" w:eastAsia="fr-FR"/>
        </w:rPr>
        <w:t xml:space="preserve">pour </w:t>
      </w:r>
      <w:r w:rsidR="00EE431A" w:rsidRPr="00C2548D">
        <w:rPr>
          <w:lang w:val="fr-FR" w:eastAsia="fr-FR"/>
        </w:rPr>
        <w:t>enfants</w:t>
      </w:r>
      <w:r w:rsidRPr="00C2548D">
        <w:rPr>
          <w:lang w:val="fr-FR" w:eastAsia="fr-FR"/>
        </w:rPr>
        <w:t xml:space="preserve"> contrôle le bon déroulement du placement </w:t>
      </w:r>
      <w:r w:rsidR="00D67D7C" w:rsidRPr="00C2548D">
        <w:rPr>
          <w:lang w:val="fr-FR" w:eastAsia="fr-FR"/>
        </w:rPr>
        <w:t>préadoptif</w:t>
      </w:r>
      <w:r w:rsidRPr="00C2548D">
        <w:rPr>
          <w:lang w:val="fr-FR" w:eastAsia="fr-FR"/>
        </w:rPr>
        <w:t xml:space="preserve"> avec la collaboration du juge des tutelles, des services sociaux et des experts. </w:t>
      </w:r>
      <w:r w:rsidR="00D67D7C" w:rsidRPr="00C2548D">
        <w:rPr>
          <w:lang w:val="fr-FR" w:eastAsia="fr-FR"/>
        </w:rPr>
        <w:t>En cas de</w:t>
      </w:r>
      <w:r w:rsidRPr="00C2548D">
        <w:rPr>
          <w:lang w:val="fr-FR" w:eastAsia="fr-FR"/>
        </w:rPr>
        <w:t xml:space="preserve"> difficultés, le tribunal convoque, même séparément, la famille d</w:t>
      </w:r>
      <w:r w:rsidR="00C2548D">
        <w:rPr>
          <w:lang w:val="fr-FR" w:eastAsia="fr-FR"/>
        </w:rPr>
        <w:t>’</w:t>
      </w:r>
      <w:r w:rsidRPr="00C2548D">
        <w:rPr>
          <w:lang w:val="fr-FR" w:eastAsia="fr-FR"/>
        </w:rPr>
        <w:t>accueil et le mineur en présence, le cas échéant, d</w:t>
      </w:r>
      <w:r w:rsidR="00C2548D">
        <w:rPr>
          <w:lang w:val="fr-FR" w:eastAsia="fr-FR"/>
        </w:rPr>
        <w:t>’</w:t>
      </w:r>
      <w:r w:rsidRPr="00C2548D">
        <w:rPr>
          <w:lang w:val="fr-FR" w:eastAsia="fr-FR"/>
        </w:rPr>
        <w:t xml:space="preserve">un psychologue pour </w:t>
      </w:r>
      <w:r w:rsidR="00D67D7C" w:rsidRPr="00C2548D">
        <w:rPr>
          <w:lang w:val="fr-FR" w:eastAsia="fr-FR"/>
        </w:rPr>
        <w:t xml:space="preserve">en </w:t>
      </w:r>
      <w:r w:rsidRPr="00C2548D">
        <w:rPr>
          <w:lang w:val="fr-FR" w:eastAsia="fr-FR"/>
        </w:rPr>
        <w:t xml:space="preserve">vérifier les raisons. </w:t>
      </w:r>
      <w:r w:rsidR="00D67D7C" w:rsidRPr="00C2548D">
        <w:rPr>
          <w:lang w:val="fr-FR" w:eastAsia="fr-FR"/>
        </w:rPr>
        <w:t>Si nécessaire</w:t>
      </w:r>
      <w:r w:rsidRPr="00C2548D">
        <w:rPr>
          <w:lang w:val="fr-FR" w:eastAsia="fr-FR"/>
        </w:rPr>
        <w:t>, il peut ordonner des mesures de soutien psychologique.</w:t>
      </w:r>
    </w:p>
    <w:p w:rsidR="0099454D" w:rsidRPr="00C2548D" w:rsidRDefault="0099454D" w:rsidP="00DF2FEA">
      <w:pPr>
        <w:pStyle w:val="ECHRPara"/>
        <w:rPr>
          <w:rFonts w:ascii="Times New Roman" w:eastAsia="Times New Roman" w:hAnsi="Times New Roman" w:cs="Times New Roman"/>
          <w:szCs w:val="24"/>
          <w:lang w:val="fr-FR" w:eastAsia="fr-FR"/>
        </w:rPr>
      </w:pPr>
      <w:r w:rsidRPr="00C2548D">
        <w:rPr>
          <w:lang w:val="fr-FR" w:eastAsia="fr-FR"/>
        </w:rPr>
        <w:t>L</w:t>
      </w:r>
      <w:r w:rsidR="00C2548D">
        <w:rPr>
          <w:lang w:val="fr-FR" w:eastAsia="fr-FR"/>
        </w:rPr>
        <w:t>’</w:t>
      </w:r>
      <w:r w:rsidRPr="00C2548D">
        <w:rPr>
          <w:lang w:val="fr-FR" w:eastAsia="fr-FR"/>
        </w:rPr>
        <w:t xml:space="preserve">article 25 prévoit </w:t>
      </w:r>
      <w:r w:rsidR="00D67D7C" w:rsidRPr="00C2548D">
        <w:rPr>
          <w:lang w:val="fr-FR" w:eastAsia="fr-FR"/>
        </w:rPr>
        <w:t xml:space="preserve">que </w:t>
      </w:r>
      <w:r w:rsidRPr="00C2548D">
        <w:rPr>
          <w:lang w:val="fr-FR" w:eastAsia="fr-FR"/>
        </w:rPr>
        <w:t xml:space="preserve">le </w:t>
      </w:r>
      <w:r w:rsidR="00EE431A" w:rsidRPr="00C2548D">
        <w:rPr>
          <w:lang w:val="fr-FR" w:eastAsia="fr-FR"/>
        </w:rPr>
        <w:t xml:space="preserve">tribunal </w:t>
      </w:r>
      <w:r w:rsidR="00CC7130" w:rsidRPr="00C2548D">
        <w:rPr>
          <w:lang w:val="fr-FR" w:eastAsia="fr-FR"/>
        </w:rPr>
        <w:t xml:space="preserve">pour </w:t>
      </w:r>
      <w:r w:rsidR="00EE431A" w:rsidRPr="00C2548D">
        <w:rPr>
          <w:lang w:val="fr-FR" w:eastAsia="fr-FR"/>
        </w:rPr>
        <w:t>enfants</w:t>
      </w:r>
      <w:r w:rsidRPr="00C2548D">
        <w:rPr>
          <w:lang w:val="fr-FR" w:eastAsia="fr-FR"/>
        </w:rPr>
        <w:t xml:space="preserve"> </w:t>
      </w:r>
      <w:r w:rsidR="00D67D7C" w:rsidRPr="00C2548D">
        <w:rPr>
          <w:lang w:val="fr-FR" w:eastAsia="fr-FR"/>
        </w:rPr>
        <w:t xml:space="preserve">ne </w:t>
      </w:r>
      <w:r w:rsidRPr="00C2548D">
        <w:rPr>
          <w:lang w:val="fr-FR" w:eastAsia="fr-FR"/>
        </w:rPr>
        <w:t xml:space="preserve">peut </w:t>
      </w:r>
      <w:r w:rsidR="008C7378" w:rsidRPr="00C2548D">
        <w:rPr>
          <w:lang w:val="fr-FR" w:eastAsia="fr-FR"/>
        </w:rPr>
        <w:t>se prononcer</w:t>
      </w:r>
      <w:r w:rsidRPr="00C2548D">
        <w:rPr>
          <w:lang w:val="fr-FR" w:eastAsia="fr-FR"/>
        </w:rPr>
        <w:t xml:space="preserve"> sur l</w:t>
      </w:r>
      <w:r w:rsidR="00C2548D">
        <w:rPr>
          <w:lang w:val="fr-FR" w:eastAsia="fr-FR"/>
        </w:rPr>
        <w:t>’</w:t>
      </w:r>
      <w:r w:rsidRPr="00C2548D">
        <w:rPr>
          <w:lang w:val="fr-FR" w:eastAsia="fr-FR"/>
        </w:rPr>
        <w:t>adoption</w:t>
      </w:r>
      <w:r w:rsidR="00D67D7C" w:rsidRPr="00C2548D">
        <w:rPr>
          <w:lang w:val="fr-FR" w:eastAsia="fr-FR"/>
        </w:rPr>
        <w:t> qu</w:t>
      </w:r>
      <w:r w:rsidR="00C2548D">
        <w:rPr>
          <w:lang w:val="fr-FR" w:eastAsia="fr-FR"/>
        </w:rPr>
        <w:t>’</w:t>
      </w:r>
      <w:r w:rsidR="00D67D7C" w:rsidRPr="00C2548D">
        <w:rPr>
          <w:lang w:val="fr-FR" w:eastAsia="fr-FR"/>
        </w:rPr>
        <w:t>après l</w:t>
      </w:r>
      <w:r w:rsidR="00C2548D">
        <w:rPr>
          <w:lang w:val="fr-FR" w:eastAsia="fr-FR"/>
        </w:rPr>
        <w:t>’</w:t>
      </w:r>
      <w:r w:rsidR="00D67D7C" w:rsidRPr="00C2548D">
        <w:rPr>
          <w:lang w:val="fr-FR" w:eastAsia="fr-FR"/>
        </w:rPr>
        <w:t>expiration d</w:t>
      </w:r>
      <w:r w:rsidR="00C2548D">
        <w:rPr>
          <w:lang w:val="fr-FR" w:eastAsia="fr-FR"/>
        </w:rPr>
        <w:t>’</w:t>
      </w:r>
      <w:r w:rsidR="00D67D7C" w:rsidRPr="00C2548D">
        <w:rPr>
          <w:lang w:val="fr-FR" w:eastAsia="fr-FR"/>
        </w:rPr>
        <w:t>un délai minimum d</w:t>
      </w:r>
      <w:r w:rsidR="00C2548D">
        <w:rPr>
          <w:lang w:val="fr-FR" w:eastAsia="fr-FR"/>
        </w:rPr>
        <w:t>’</w:t>
      </w:r>
      <w:r w:rsidR="00D67D7C" w:rsidRPr="00C2548D">
        <w:rPr>
          <w:lang w:val="fr-FR" w:eastAsia="fr-FR"/>
        </w:rPr>
        <w:t>un an après la déclaration d</w:t>
      </w:r>
      <w:r w:rsidR="00C2548D">
        <w:rPr>
          <w:lang w:val="fr-FR" w:eastAsia="fr-FR"/>
        </w:rPr>
        <w:t>’</w:t>
      </w:r>
      <w:r w:rsidR="00D67D7C" w:rsidRPr="00C2548D">
        <w:rPr>
          <w:lang w:val="fr-FR" w:eastAsia="fr-FR"/>
        </w:rPr>
        <w:t>adoptabilité</w:t>
      </w:r>
      <w:r w:rsidR="00EB0A3F" w:rsidRPr="00C2548D">
        <w:rPr>
          <w:lang w:val="fr-FR" w:eastAsia="fr-FR"/>
        </w:rPr>
        <w:t> </w:t>
      </w:r>
      <w:r w:rsidR="00D67D7C" w:rsidRPr="00C2548D">
        <w:rPr>
          <w:lang w:val="fr-FR" w:eastAsia="fr-FR"/>
        </w:rPr>
        <w:t>; la décision sur l</w:t>
      </w:r>
      <w:r w:rsidR="00C2548D">
        <w:rPr>
          <w:lang w:val="fr-FR" w:eastAsia="fr-FR"/>
        </w:rPr>
        <w:t>’</w:t>
      </w:r>
      <w:r w:rsidR="00D67D7C" w:rsidRPr="00C2548D">
        <w:rPr>
          <w:lang w:val="fr-FR" w:eastAsia="fr-FR"/>
        </w:rPr>
        <w:t xml:space="preserve">adoption est prise </w:t>
      </w:r>
      <w:r w:rsidRPr="00C2548D">
        <w:rPr>
          <w:lang w:val="fr-FR" w:eastAsia="fr-FR"/>
        </w:rPr>
        <w:t xml:space="preserve">en </w:t>
      </w:r>
      <w:r w:rsidR="006767B6" w:rsidRPr="00C2548D">
        <w:rPr>
          <w:lang w:val="fr-FR" w:eastAsia="fr-FR"/>
        </w:rPr>
        <w:t>chambre du conseil</w:t>
      </w:r>
      <w:r w:rsidRPr="00C2548D">
        <w:rPr>
          <w:rFonts w:ascii="Times New Roman" w:eastAsia="Times New Roman" w:hAnsi="Times New Roman" w:cs="Times New Roman"/>
          <w:szCs w:val="24"/>
          <w:lang w:val="fr-FR" w:eastAsia="fr-FR"/>
        </w:rPr>
        <w:t>.</w:t>
      </w:r>
    </w:p>
    <w:p w:rsidR="0099454D" w:rsidRPr="00C2548D" w:rsidRDefault="00801719" w:rsidP="00DF2FEA">
      <w:pPr>
        <w:pStyle w:val="ECHRPara"/>
        <w:rPr>
          <w:lang w:val="fr-FR" w:eastAsia="fr-FR"/>
        </w:rPr>
      </w:pPr>
      <w:r w:rsidRPr="00C2548D">
        <w:rPr>
          <w:rFonts w:ascii="Times New Roman" w:eastAsia="Times New Roman" w:hAnsi="Times New Roman" w:cs="Times New Roman"/>
          <w:szCs w:val="24"/>
          <w:lang w:val="fr-FR" w:eastAsia="fr-FR"/>
        </w:rPr>
        <w:t>L</w:t>
      </w:r>
      <w:r w:rsidR="00C2548D">
        <w:rPr>
          <w:lang w:val="fr-FR" w:eastAsia="fr-FR"/>
        </w:rPr>
        <w:t>’</w:t>
      </w:r>
      <w:r w:rsidR="0099454D" w:rsidRPr="00C2548D">
        <w:rPr>
          <w:lang w:val="fr-FR" w:eastAsia="fr-FR"/>
        </w:rPr>
        <w:t>arrêt de la cour d</w:t>
      </w:r>
      <w:r w:rsidR="00C2548D">
        <w:rPr>
          <w:lang w:val="fr-FR" w:eastAsia="fr-FR"/>
        </w:rPr>
        <w:t>’</w:t>
      </w:r>
      <w:r w:rsidR="0099454D" w:rsidRPr="00C2548D">
        <w:rPr>
          <w:lang w:val="fr-FR" w:eastAsia="fr-FR"/>
        </w:rPr>
        <w:t xml:space="preserve">appel qui </w:t>
      </w:r>
      <w:r w:rsidRPr="00C2548D">
        <w:rPr>
          <w:lang w:val="fr-FR" w:eastAsia="fr-FR"/>
        </w:rPr>
        <w:t>ordonne</w:t>
      </w:r>
      <w:r w:rsidR="0099454D" w:rsidRPr="00C2548D">
        <w:rPr>
          <w:lang w:val="fr-FR" w:eastAsia="fr-FR"/>
        </w:rPr>
        <w:t xml:space="preserve"> l</w:t>
      </w:r>
      <w:r w:rsidR="00C2548D">
        <w:rPr>
          <w:lang w:val="fr-FR" w:eastAsia="fr-FR"/>
        </w:rPr>
        <w:t>’</w:t>
      </w:r>
      <w:r w:rsidR="0099454D" w:rsidRPr="00C2548D">
        <w:rPr>
          <w:lang w:val="fr-FR" w:eastAsia="fr-FR"/>
        </w:rPr>
        <w:t>adoption peut faire l</w:t>
      </w:r>
      <w:r w:rsidR="00C2548D">
        <w:rPr>
          <w:lang w:val="fr-FR" w:eastAsia="fr-FR"/>
        </w:rPr>
        <w:t>’</w:t>
      </w:r>
      <w:r w:rsidR="0099454D" w:rsidRPr="00C2548D">
        <w:rPr>
          <w:lang w:val="fr-FR" w:eastAsia="fr-FR"/>
        </w:rPr>
        <w:t>objet d</w:t>
      </w:r>
      <w:r w:rsidR="00C2548D">
        <w:rPr>
          <w:lang w:val="fr-FR" w:eastAsia="fr-FR"/>
        </w:rPr>
        <w:t>’</w:t>
      </w:r>
      <w:r w:rsidR="0099454D" w:rsidRPr="00C2548D">
        <w:rPr>
          <w:lang w:val="fr-FR" w:eastAsia="fr-FR"/>
        </w:rPr>
        <w:t xml:space="preserve">un pourvoi en cassation dans un délai de 30 jours à partir de la date de </w:t>
      </w:r>
      <w:r w:rsidR="00D67D7C" w:rsidRPr="00C2548D">
        <w:rPr>
          <w:lang w:val="fr-FR" w:eastAsia="fr-FR"/>
        </w:rPr>
        <w:t xml:space="preserve">sa </w:t>
      </w:r>
      <w:r w:rsidR="0099454D" w:rsidRPr="00C2548D">
        <w:rPr>
          <w:lang w:val="fr-FR" w:eastAsia="fr-FR"/>
        </w:rPr>
        <w:t>notification</w:t>
      </w:r>
      <w:r w:rsidR="00D67D7C" w:rsidRPr="00C2548D">
        <w:rPr>
          <w:lang w:val="fr-FR" w:eastAsia="fr-FR"/>
        </w:rPr>
        <w:t>,</w:t>
      </w:r>
      <w:r w:rsidR="0099454D" w:rsidRPr="00C2548D">
        <w:rPr>
          <w:lang w:val="fr-FR" w:eastAsia="fr-FR"/>
        </w:rPr>
        <w:t xml:space="preserve"> pour les motifs prévus au numéro 3 du premier alinéa de l</w:t>
      </w:r>
      <w:r w:rsidR="00C2548D">
        <w:rPr>
          <w:lang w:val="fr-FR" w:eastAsia="fr-FR"/>
        </w:rPr>
        <w:t>’</w:t>
      </w:r>
      <w:r w:rsidR="0099454D" w:rsidRPr="00C2548D">
        <w:rPr>
          <w:lang w:val="fr-FR" w:eastAsia="fr-FR"/>
        </w:rPr>
        <w:t>article 36</w:t>
      </w:r>
      <w:r w:rsidRPr="00C2548D">
        <w:rPr>
          <w:lang w:val="fr-FR" w:eastAsia="fr-FR"/>
        </w:rPr>
        <w:t>0 d) du code de procédure civile.</w:t>
      </w:r>
    </w:p>
    <w:p w:rsidR="0099454D" w:rsidRPr="00C2548D" w:rsidRDefault="0099454D" w:rsidP="00DF2FEA">
      <w:pPr>
        <w:pStyle w:val="ECHRTitleCentre3"/>
        <w:rPr>
          <w:lang w:val="fr-FR" w:eastAsia="fr-FR"/>
        </w:rPr>
      </w:pPr>
      <w:r w:rsidRPr="00C2548D">
        <w:rPr>
          <w:lang w:val="fr-FR"/>
        </w:rPr>
        <w:t>Article 44</w:t>
      </w:r>
      <w:r w:rsidR="000E6D7E" w:rsidRPr="00C2548D">
        <w:rPr>
          <w:lang w:val="fr-FR"/>
        </w:rPr>
        <w:br/>
      </w:r>
      <w:r w:rsidRPr="00C2548D">
        <w:rPr>
          <w:lang w:val="fr-FR" w:eastAsia="fr-FR"/>
        </w:rPr>
        <w:t>De l</w:t>
      </w:r>
      <w:r w:rsidR="00C2548D">
        <w:rPr>
          <w:lang w:val="fr-FR" w:eastAsia="fr-FR"/>
        </w:rPr>
        <w:t>’</w:t>
      </w:r>
      <w:r w:rsidRPr="00C2548D">
        <w:rPr>
          <w:lang w:val="fr-FR" w:eastAsia="fr-FR"/>
        </w:rPr>
        <w:t xml:space="preserve">adoption dans </w:t>
      </w:r>
      <w:r w:rsidR="00C50A8C" w:rsidRPr="00C2548D">
        <w:rPr>
          <w:lang w:val="fr-FR" w:eastAsia="fr-FR"/>
        </w:rPr>
        <w:t xml:space="preserve">certains </w:t>
      </w:r>
      <w:r w:rsidRPr="00C2548D">
        <w:rPr>
          <w:lang w:val="fr-FR" w:eastAsia="fr-FR"/>
        </w:rPr>
        <w:t>cas particuliers.</w:t>
      </w:r>
    </w:p>
    <w:p w:rsidR="0099454D" w:rsidRPr="000E6D7E" w:rsidRDefault="000E6D7E" w:rsidP="000E6D7E">
      <w:pPr>
        <w:pStyle w:val="ECHRParaQuote"/>
        <w:rPr>
          <w:lang w:val="fr-FR"/>
        </w:rPr>
      </w:pPr>
      <w:r w:rsidRPr="000E6D7E">
        <w:rPr>
          <w:lang w:val="fr-FR"/>
        </w:rPr>
        <w:t>«</w:t>
      </w:r>
      <w:r>
        <w:rPr>
          <w:lang w:val="fr-FR"/>
        </w:rPr>
        <w:t> 1.  </w:t>
      </w:r>
      <w:r w:rsidR="0099454D" w:rsidRPr="000E6D7E">
        <w:rPr>
          <w:lang w:val="fr-FR"/>
        </w:rPr>
        <w:t xml:space="preserve">Lorsque les conditions </w:t>
      </w:r>
      <w:r w:rsidR="00C50A8C" w:rsidRPr="000E6D7E">
        <w:rPr>
          <w:lang w:val="fr-FR"/>
        </w:rPr>
        <w:t xml:space="preserve">énoncées </w:t>
      </w:r>
      <w:r w:rsidR="0099454D" w:rsidRPr="000E6D7E">
        <w:rPr>
          <w:lang w:val="fr-FR"/>
        </w:rPr>
        <w:t>à l</w:t>
      </w:r>
      <w:r w:rsidR="00C2548D">
        <w:rPr>
          <w:lang w:val="fr-FR"/>
        </w:rPr>
        <w:t>’</w:t>
      </w:r>
      <w:r w:rsidR="0099454D" w:rsidRPr="000E6D7E">
        <w:rPr>
          <w:lang w:val="fr-FR"/>
        </w:rPr>
        <w:t>alinéa 1 de l</w:t>
      </w:r>
      <w:r w:rsidR="00C2548D">
        <w:rPr>
          <w:lang w:val="fr-FR"/>
        </w:rPr>
        <w:t>’</w:t>
      </w:r>
      <w:r w:rsidR="0099454D" w:rsidRPr="000E6D7E">
        <w:rPr>
          <w:lang w:val="fr-FR"/>
        </w:rPr>
        <w:t>article 7 ne sont pas réunies (mineurs qui n</w:t>
      </w:r>
      <w:r w:rsidR="00C2548D">
        <w:rPr>
          <w:lang w:val="fr-FR"/>
        </w:rPr>
        <w:t>’</w:t>
      </w:r>
      <w:r w:rsidR="0099454D" w:rsidRPr="000E6D7E">
        <w:rPr>
          <w:lang w:val="fr-FR"/>
        </w:rPr>
        <w:t>ont pas encore été déclarés adoptables</w:t>
      </w:r>
      <w:r w:rsidR="00801719" w:rsidRPr="000E6D7E">
        <w:rPr>
          <w:lang w:val="fr-FR"/>
        </w:rPr>
        <w:t>)</w:t>
      </w:r>
      <w:r w:rsidR="0099454D" w:rsidRPr="000E6D7E">
        <w:rPr>
          <w:lang w:val="fr-FR"/>
        </w:rPr>
        <w:t xml:space="preserve">, les mineurs peuvent </w:t>
      </w:r>
      <w:r w:rsidR="00C50A8C" w:rsidRPr="000E6D7E">
        <w:rPr>
          <w:lang w:val="fr-FR"/>
        </w:rPr>
        <w:t xml:space="preserve">néanmoins </w:t>
      </w:r>
      <w:r w:rsidR="0099454D" w:rsidRPr="000E6D7E">
        <w:rPr>
          <w:lang w:val="fr-FR"/>
        </w:rPr>
        <w:t>être adoptés</w:t>
      </w:r>
      <w:r w:rsidR="00B92E1D" w:rsidRPr="000E6D7E">
        <w:rPr>
          <w:lang w:val="fr-FR"/>
        </w:rPr>
        <w:t> </w:t>
      </w:r>
      <w:r w:rsidR="0099454D" w:rsidRPr="000E6D7E">
        <w:rPr>
          <w:lang w:val="fr-FR"/>
        </w:rPr>
        <w:t>:</w:t>
      </w:r>
    </w:p>
    <w:p w:rsidR="0099454D" w:rsidRPr="000E6D7E" w:rsidRDefault="0099454D" w:rsidP="000E6D7E">
      <w:pPr>
        <w:pStyle w:val="ECHRParaQuote"/>
        <w:rPr>
          <w:lang w:val="fr-FR"/>
        </w:rPr>
      </w:pPr>
      <w:r w:rsidRPr="000E6D7E">
        <w:rPr>
          <w:lang w:val="fr-FR"/>
        </w:rPr>
        <w:t>a</w:t>
      </w:r>
      <w:r w:rsidR="000E6D7E" w:rsidRPr="000E6D7E">
        <w:rPr>
          <w:lang w:val="fr-FR"/>
        </w:rPr>
        <w:t>)  </w:t>
      </w:r>
      <w:r w:rsidRPr="000E6D7E">
        <w:rPr>
          <w:lang w:val="fr-FR"/>
        </w:rPr>
        <w:t>par des personnes ayant avec le mineur un lien jusqu</w:t>
      </w:r>
      <w:r w:rsidR="00C2548D">
        <w:rPr>
          <w:lang w:val="fr-FR"/>
        </w:rPr>
        <w:t>’</w:t>
      </w:r>
      <w:r w:rsidRPr="000E6D7E">
        <w:rPr>
          <w:lang w:val="fr-FR"/>
        </w:rPr>
        <w:t>au sixième degré ou un rapport stable et durable préexistant, lorsque le mineur est orphelin de père ou de mère</w:t>
      </w:r>
      <w:r w:rsidR="00B92E1D" w:rsidRPr="000E6D7E">
        <w:rPr>
          <w:lang w:val="fr-FR"/>
        </w:rPr>
        <w:t> </w:t>
      </w:r>
      <w:r w:rsidRPr="000E6D7E">
        <w:rPr>
          <w:lang w:val="fr-FR"/>
        </w:rPr>
        <w:t>;</w:t>
      </w:r>
    </w:p>
    <w:p w:rsidR="0099454D" w:rsidRPr="000E6D7E" w:rsidRDefault="0099454D" w:rsidP="000E6D7E">
      <w:pPr>
        <w:pStyle w:val="ECHRParaQuote"/>
        <w:rPr>
          <w:lang w:val="fr-FR"/>
        </w:rPr>
      </w:pPr>
      <w:r w:rsidRPr="000E6D7E">
        <w:rPr>
          <w:lang w:val="fr-FR"/>
        </w:rPr>
        <w:t>b</w:t>
      </w:r>
      <w:r w:rsidR="000E6D7E" w:rsidRPr="000E6D7E">
        <w:rPr>
          <w:lang w:val="fr-FR"/>
        </w:rPr>
        <w:t>)  </w:t>
      </w:r>
      <w:r w:rsidRPr="000E6D7E">
        <w:rPr>
          <w:lang w:val="fr-FR"/>
        </w:rPr>
        <w:t xml:space="preserve">par le conjoint dans le cas où le mineur est </w:t>
      </w:r>
      <w:r w:rsidR="00C50A8C" w:rsidRPr="000E6D7E">
        <w:rPr>
          <w:lang w:val="fr-FR"/>
        </w:rPr>
        <w:t>l</w:t>
      </w:r>
      <w:r w:rsidR="00C2548D">
        <w:rPr>
          <w:lang w:val="fr-FR"/>
        </w:rPr>
        <w:t>’</w:t>
      </w:r>
      <w:r w:rsidR="00C50A8C" w:rsidRPr="000E6D7E">
        <w:rPr>
          <w:lang w:val="fr-FR"/>
        </w:rPr>
        <w:t xml:space="preserve">enfant </w:t>
      </w:r>
      <w:r w:rsidRPr="000E6D7E">
        <w:rPr>
          <w:lang w:val="fr-FR"/>
        </w:rPr>
        <w:t>même adoptif de l</w:t>
      </w:r>
      <w:r w:rsidR="00C2548D">
        <w:rPr>
          <w:lang w:val="fr-FR"/>
        </w:rPr>
        <w:t>’</w:t>
      </w:r>
      <w:r w:rsidRPr="000E6D7E">
        <w:rPr>
          <w:lang w:val="fr-FR"/>
        </w:rPr>
        <w:t>autre conjoint</w:t>
      </w:r>
      <w:r w:rsidR="00B92E1D" w:rsidRPr="000E6D7E">
        <w:rPr>
          <w:lang w:val="fr-FR"/>
        </w:rPr>
        <w:t> </w:t>
      </w:r>
      <w:r w:rsidRPr="000E6D7E">
        <w:rPr>
          <w:lang w:val="fr-FR"/>
        </w:rPr>
        <w:t>;</w:t>
      </w:r>
    </w:p>
    <w:p w:rsidR="0099454D" w:rsidRPr="000E6D7E" w:rsidRDefault="0099454D" w:rsidP="000E6D7E">
      <w:pPr>
        <w:pStyle w:val="ECHRParaQuote"/>
        <w:rPr>
          <w:lang w:val="fr-FR"/>
        </w:rPr>
      </w:pPr>
      <w:r w:rsidRPr="000E6D7E">
        <w:rPr>
          <w:lang w:val="fr-FR"/>
        </w:rPr>
        <w:t>c</w:t>
      </w:r>
      <w:r w:rsidR="000E6D7E" w:rsidRPr="000E6D7E">
        <w:rPr>
          <w:lang w:val="fr-FR"/>
        </w:rPr>
        <w:t>)  </w:t>
      </w:r>
      <w:r w:rsidRPr="000E6D7E">
        <w:rPr>
          <w:lang w:val="fr-FR"/>
        </w:rPr>
        <w:t>quand le mineur est dans l</w:t>
      </w:r>
      <w:r w:rsidR="00C2548D">
        <w:rPr>
          <w:lang w:val="fr-FR"/>
        </w:rPr>
        <w:t>’</w:t>
      </w:r>
      <w:r w:rsidRPr="000E6D7E">
        <w:rPr>
          <w:lang w:val="fr-FR"/>
        </w:rPr>
        <w:t>état indiqué à l</w:t>
      </w:r>
      <w:r w:rsidR="00C2548D">
        <w:rPr>
          <w:lang w:val="fr-FR"/>
        </w:rPr>
        <w:t>’</w:t>
      </w:r>
      <w:r w:rsidRPr="000E6D7E">
        <w:rPr>
          <w:lang w:val="fr-FR"/>
        </w:rPr>
        <w:t>article 3, alinéa 1 de la loi no 104 du 5 février 1992 et qu</w:t>
      </w:r>
      <w:r w:rsidR="00C2548D">
        <w:rPr>
          <w:lang w:val="fr-FR"/>
        </w:rPr>
        <w:t>’</w:t>
      </w:r>
      <w:r w:rsidRPr="000E6D7E">
        <w:rPr>
          <w:lang w:val="fr-FR"/>
        </w:rPr>
        <w:t>il est orphelin de père et de mère</w:t>
      </w:r>
      <w:r w:rsidR="00B92E1D" w:rsidRPr="000E6D7E">
        <w:rPr>
          <w:lang w:val="fr-FR"/>
        </w:rPr>
        <w:t> </w:t>
      </w:r>
      <w:r w:rsidRPr="000E6D7E">
        <w:rPr>
          <w:lang w:val="fr-FR"/>
        </w:rPr>
        <w:t>;</w:t>
      </w:r>
    </w:p>
    <w:p w:rsidR="0099454D" w:rsidRPr="00C2548D" w:rsidRDefault="0099454D" w:rsidP="000E6D7E">
      <w:pPr>
        <w:pStyle w:val="ECHRParaQuote"/>
        <w:rPr>
          <w:lang w:val="fr-FR"/>
        </w:rPr>
      </w:pPr>
      <w:r w:rsidRPr="00C2548D">
        <w:rPr>
          <w:lang w:val="fr-FR"/>
        </w:rPr>
        <w:t>d) quand l</w:t>
      </w:r>
      <w:r w:rsidR="00C2548D">
        <w:rPr>
          <w:lang w:val="fr-FR"/>
        </w:rPr>
        <w:t>’</w:t>
      </w:r>
      <w:r w:rsidRPr="00C2548D">
        <w:rPr>
          <w:lang w:val="fr-FR"/>
        </w:rPr>
        <w:t>impossibilité de procéder à un placement en vue de l</w:t>
      </w:r>
      <w:r w:rsidR="00C2548D">
        <w:rPr>
          <w:lang w:val="fr-FR"/>
        </w:rPr>
        <w:t>’</w:t>
      </w:r>
      <w:r w:rsidRPr="00C2548D">
        <w:rPr>
          <w:lang w:val="fr-FR"/>
        </w:rPr>
        <w:t>adoption a été constatée.</w:t>
      </w:r>
    </w:p>
    <w:p w:rsidR="0099454D" w:rsidRPr="000E6D7E" w:rsidRDefault="000E6D7E" w:rsidP="000E6D7E">
      <w:pPr>
        <w:pStyle w:val="ECHRParaQuote"/>
        <w:rPr>
          <w:lang w:val="fr-FR"/>
        </w:rPr>
      </w:pPr>
      <w:r w:rsidRPr="000E6D7E">
        <w:rPr>
          <w:lang w:val="fr-FR"/>
        </w:rPr>
        <w:t>2. </w:t>
      </w:r>
      <w:r>
        <w:rPr>
          <w:lang w:val="fr-FR"/>
        </w:rPr>
        <w:t> </w:t>
      </w:r>
      <w:r w:rsidR="0099454D" w:rsidRPr="000E6D7E">
        <w:rPr>
          <w:lang w:val="fr-FR"/>
        </w:rPr>
        <w:t>Dans les cas visés à l</w:t>
      </w:r>
      <w:r w:rsidR="00C2548D">
        <w:rPr>
          <w:lang w:val="fr-FR"/>
        </w:rPr>
        <w:t>’</w:t>
      </w:r>
      <w:r w:rsidR="0099454D" w:rsidRPr="000E6D7E">
        <w:rPr>
          <w:lang w:val="fr-FR"/>
        </w:rPr>
        <w:t>alinéa 1, l</w:t>
      </w:r>
      <w:r w:rsidR="00C2548D">
        <w:rPr>
          <w:lang w:val="fr-FR"/>
        </w:rPr>
        <w:t>’</w:t>
      </w:r>
      <w:r w:rsidR="0099454D" w:rsidRPr="000E6D7E">
        <w:rPr>
          <w:lang w:val="fr-FR"/>
        </w:rPr>
        <w:t>adoption est possible même en présence d</w:t>
      </w:r>
      <w:r w:rsidR="00C2548D">
        <w:rPr>
          <w:lang w:val="fr-FR"/>
        </w:rPr>
        <w:t>’</w:t>
      </w:r>
      <w:r w:rsidR="0099454D" w:rsidRPr="000E6D7E">
        <w:rPr>
          <w:lang w:val="fr-FR"/>
        </w:rPr>
        <w:t>enfants légitimes.</w:t>
      </w:r>
    </w:p>
    <w:p w:rsidR="0099454D" w:rsidRPr="00C2548D" w:rsidRDefault="000E6D7E" w:rsidP="000E6D7E">
      <w:pPr>
        <w:pStyle w:val="ECHRParaQuote"/>
        <w:rPr>
          <w:lang w:val="fr-FR"/>
        </w:rPr>
      </w:pPr>
      <w:r w:rsidRPr="000E6D7E">
        <w:rPr>
          <w:lang w:val="fr-FR"/>
        </w:rPr>
        <w:t>3. </w:t>
      </w:r>
      <w:r>
        <w:rPr>
          <w:lang w:val="fr-FR"/>
        </w:rPr>
        <w:t> </w:t>
      </w:r>
      <w:r w:rsidR="0099454D" w:rsidRPr="000E6D7E">
        <w:rPr>
          <w:lang w:val="fr-FR"/>
        </w:rPr>
        <w:t>Dans les cas visés à l</w:t>
      </w:r>
      <w:r w:rsidR="00C2548D">
        <w:rPr>
          <w:lang w:val="fr-FR"/>
        </w:rPr>
        <w:t>’</w:t>
      </w:r>
      <w:r w:rsidR="0099454D" w:rsidRPr="000E6D7E">
        <w:rPr>
          <w:lang w:val="fr-FR"/>
        </w:rPr>
        <w:t>alinéa 1 a), c) et d), l</w:t>
      </w:r>
      <w:r w:rsidR="00C2548D">
        <w:rPr>
          <w:lang w:val="fr-FR"/>
        </w:rPr>
        <w:t>’</w:t>
      </w:r>
      <w:r w:rsidR="0099454D" w:rsidRPr="000E6D7E">
        <w:rPr>
          <w:lang w:val="fr-FR"/>
        </w:rPr>
        <w:t xml:space="preserve">adoption est </w:t>
      </w:r>
      <w:r w:rsidR="00C50A8C" w:rsidRPr="000E6D7E">
        <w:rPr>
          <w:lang w:val="fr-FR"/>
        </w:rPr>
        <w:t>ouverte</w:t>
      </w:r>
      <w:r w:rsidR="0099454D" w:rsidRPr="000E6D7E">
        <w:rPr>
          <w:lang w:val="fr-FR"/>
        </w:rPr>
        <w:t xml:space="preserve"> </w:t>
      </w:r>
      <w:r w:rsidR="00C50A8C" w:rsidRPr="000E6D7E">
        <w:rPr>
          <w:lang w:val="fr-FR"/>
        </w:rPr>
        <w:t xml:space="preserve">non seulement </w:t>
      </w:r>
      <w:r w:rsidR="0099454D" w:rsidRPr="000E6D7E">
        <w:rPr>
          <w:lang w:val="fr-FR"/>
        </w:rPr>
        <w:t xml:space="preserve">aux </w:t>
      </w:r>
      <w:r w:rsidR="00C50A8C" w:rsidRPr="000E6D7E">
        <w:rPr>
          <w:lang w:val="fr-FR"/>
        </w:rPr>
        <w:t>[couples mariés] mais aussi [aux personnes]</w:t>
      </w:r>
      <w:r w:rsidR="0099454D" w:rsidRPr="000E6D7E">
        <w:rPr>
          <w:lang w:val="fr-FR"/>
        </w:rPr>
        <w:t xml:space="preserve"> qui ne sont pas marié</w:t>
      </w:r>
      <w:r w:rsidR="00C50A8C" w:rsidRPr="000E6D7E">
        <w:rPr>
          <w:lang w:val="fr-FR"/>
        </w:rPr>
        <w:t>e</w:t>
      </w:r>
      <w:r w:rsidR="0099454D" w:rsidRPr="000E6D7E">
        <w:rPr>
          <w:lang w:val="fr-FR"/>
        </w:rPr>
        <w:t xml:space="preserve">s. </w:t>
      </w:r>
      <w:r w:rsidR="0099454D" w:rsidRPr="00C2548D">
        <w:rPr>
          <w:lang w:val="fr-FR"/>
        </w:rPr>
        <w:t>Si l</w:t>
      </w:r>
      <w:r w:rsidR="00C2548D">
        <w:rPr>
          <w:lang w:val="fr-FR"/>
        </w:rPr>
        <w:t>’</w:t>
      </w:r>
      <w:r w:rsidR="0099454D" w:rsidRPr="00C2548D">
        <w:rPr>
          <w:lang w:val="fr-FR"/>
        </w:rPr>
        <w:t>adoptant</w:t>
      </w:r>
      <w:r w:rsidR="00284260" w:rsidRPr="00C2548D">
        <w:rPr>
          <w:lang w:val="fr-FR"/>
        </w:rPr>
        <w:t>/e</w:t>
      </w:r>
      <w:r w:rsidR="0099454D" w:rsidRPr="00C2548D">
        <w:rPr>
          <w:lang w:val="fr-FR"/>
        </w:rPr>
        <w:t xml:space="preserve"> est marié/ée et n</w:t>
      </w:r>
      <w:r w:rsidR="00C2548D">
        <w:rPr>
          <w:lang w:val="fr-FR"/>
        </w:rPr>
        <w:t>’</w:t>
      </w:r>
      <w:r w:rsidR="0099454D" w:rsidRPr="00C2548D">
        <w:rPr>
          <w:lang w:val="fr-FR"/>
        </w:rPr>
        <w:t>est pas séparé/ée</w:t>
      </w:r>
      <w:r w:rsidR="00284260" w:rsidRPr="00C2548D">
        <w:rPr>
          <w:lang w:val="fr-FR"/>
        </w:rPr>
        <w:t xml:space="preserve"> [de corps]</w:t>
      </w:r>
      <w:r w:rsidR="0099454D" w:rsidRPr="00C2548D">
        <w:rPr>
          <w:lang w:val="fr-FR"/>
        </w:rPr>
        <w:t>, l</w:t>
      </w:r>
      <w:r w:rsidR="00C2548D">
        <w:rPr>
          <w:lang w:val="fr-FR"/>
        </w:rPr>
        <w:t>’</w:t>
      </w:r>
      <w:r w:rsidR="0099454D" w:rsidRPr="00C2548D">
        <w:rPr>
          <w:lang w:val="fr-FR"/>
        </w:rPr>
        <w:t>adoption ne peut être décidée qu</w:t>
      </w:r>
      <w:r w:rsidR="00C2548D">
        <w:rPr>
          <w:lang w:val="fr-FR"/>
        </w:rPr>
        <w:t>’</w:t>
      </w:r>
      <w:r w:rsidR="0099454D" w:rsidRPr="00C2548D">
        <w:rPr>
          <w:lang w:val="fr-FR"/>
        </w:rPr>
        <w:t>à la suite d</w:t>
      </w:r>
      <w:r w:rsidR="00C2548D">
        <w:rPr>
          <w:lang w:val="fr-FR"/>
        </w:rPr>
        <w:t>’</w:t>
      </w:r>
      <w:r w:rsidR="0099454D" w:rsidRPr="00C2548D">
        <w:rPr>
          <w:lang w:val="fr-FR"/>
        </w:rPr>
        <w:t xml:space="preserve">une demande des </w:t>
      </w:r>
      <w:r w:rsidR="009358E4" w:rsidRPr="00C2548D">
        <w:rPr>
          <w:lang w:val="fr-FR"/>
        </w:rPr>
        <w:t>deux époux</w:t>
      </w:r>
      <w:r w:rsidR="0099454D" w:rsidRPr="00C2548D">
        <w:rPr>
          <w:lang w:val="fr-FR"/>
        </w:rPr>
        <w:t>.</w:t>
      </w:r>
    </w:p>
    <w:p w:rsidR="0099454D" w:rsidRPr="000E6D7E" w:rsidRDefault="000E6D7E" w:rsidP="000E6D7E">
      <w:pPr>
        <w:pStyle w:val="ECHRParaQuote"/>
        <w:rPr>
          <w:lang w:val="fr-FR"/>
        </w:rPr>
      </w:pPr>
      <w:r>
        <w:rPr>
          <w:lang w:val="fr-FR"/>
        </w:rPr>
        <w:t>4.  </w:t>
      </w:r>
      <w:r w:rsidR="0099454D" w:rsidRPr="000E6D7E">
        <w:rPr>
          <w:lang w:val="fr-FR"/>
        </w:rPr>
        <w:t>Dans les cas visés à l</w:t>
      </w:r>
      <w:r w:rsidR="00C2548D">
        <w:rPr>
          <w:lang w:val="fr-FR"/>
        </w:rPr>
        <w:t>’</w:t>
      </w:r>
      <w:r w:rsidR="0099454D" w:rsidRPr="000E6D7E">
        <w:rPr>
          <w:lang w:val="fr-FR"/>
        </w:rPr>
        <w:t>alinéa 1 a) et d), l</w:t>
      </w:r>
      <w:r w:rsidR="00C2548D">
        <w:rPr>
          <w:lang w:val="fr-FR"/>
        </w:rPr>
        <w:t>’</w:t>
      </w:r>
      <w:r w:rsidR="0099454D" w:rsidRPr="000E6D7E">
        <w:rPr>
          <w:lang w:val="fr-FR"/>
        </w:rPr>
        <w:t>âge de l</w:t>
      </w:r>
      <w:r w:rsidR="00C2548D">
        <w:rPr>
          <w:lang w:val="fr-FR"/>
        </w:rPr>
        <w:t>’</w:t>
      </w:r>
      <w:r w:rsidR="0099454D" w:rsidRPr="000E6D7E">
        <w:rPr>
          <w:lang w:val="fr-FR"/>
        </w:rPr>
        <w:t>adoptant doit dépasser d</w:t>
      </w:r>
      <w:r w:rsidR="00C2548D">
        <w:rPr>
          <w:lang w:val="fr-FR"/>
        </w:rPr>
        <w:t>’</w:t>
      </w:r>
      <w:r w:rsidR="0099454D" w:rsidRPr="000E6D7E">
        <w:rPr>
          <w:lang w:val="fr-FR"/>
        </w:rPr>
        <w:t>au moins dix-huit ans l</w:t>
      </w:r>
      <w:r w:rsidR="00C2548D">
        <w:rPr>
          <w:lang w:val="fr-FR"/>
        </w:rPr>
        <w:t>’</w:t>
      </w:r>
      <w:r w:rsidR="0099454D" w:rsidRPr="000E6D7E">
        <w:rPr>
          <w:lang w:val="fr-FR"/>
        </w:rPr>
        <w:t>âge de ceux qu</w:t>
      </w:r>
      <w:r w:rsidR="00C2548D">
        <w:rPr>
          <w:lang w:val="fr-FR"/>
        </w:rPr>
        <w:t>’</w:t>
      </w:r>
      <w:r w:rsidR="0099454D" w:rsidRPr="000E6D7E">
        <w:rPr>
          <w:lang w:val="fr-FR"/>
        </w:rPr>
        <w:t>il entend adopter.</w:t>
      </w:r>
      <w:r w:rsidRPr="000E6D7E">
        <w:rPr>
          <w:lang w:val="fr-FR"/>
        </w:rPr>
        <w:t> »</w:t>
      </w:r>
    </w:p>
    <w:p w:rsidR="00E77CB3" w:rsidRPr="00C2548D" w:rsidRDefault="00E77CB3" w:rsidP="00E77CB3">
      <w:pPr>
        <w:pStyle w:val="ECHRTitle1"/>
        <w:rPr>
          <w:lang w:val="fr-FR"/>
        </w:rPr>
      </w:pPr>
      <w:r w:rsidRPr="00C2548D">
        <w:rPr>
          <w:lang w:val="fr-FR"/>
        </w:rPr>
        <w:t>EN DROIT</w:t>
      </w:r>
    </w:p>
    <w:p w:rsidR="00E77CB3" w:rsidRPr="00C2548D" w:rsidRDefault="00E77CB3" w:rsidP="00C63990">
      <w:pPr>
        <w:pStyle w:val="ECHRHeading1"/>
        <w:rPr>
          <w:lang w:val="fr-FR"/>
        </w:rPr>
      </w:pPr>
      <w:r w:rsidRPr="00C2548D">
        <w:rPr>
          <w:lang w:val="fr-FR"/>
        </w:rPr>
        <w:t>I.  SUR LA VIOLATION ALLÉGUÉE DE L</w:t>
      </w:r>
      <w:r w:rsidR="00C2548D">
        <w:rPr>
          <w:lang w:val="fr-FR"/>
        </w:rPr>
        <w:t>’</w:t>
      </w:r>
      <w:r w:rsidRPr="00C2548D">
        <w:rPr>
          <w:lang w:val="fr-FR"/>
        </w:rPr>
        <w:t xml:space="preserve">ARTICLE </w:t>
      </w:r>
      <w:r w:rsidR="00241005" w:rsidRPr="00C2548D">
        <w:rPr>
          <w:lang w:val="fr-FR"/>
        </w:rPr>
        <w:t>8</w:t>
      </w:r>
      <w:r w:rsidRPr="00C2548D">
        <w:rPr>
          <w:lang w:val="fr-FR"/>
        </w:rPr>
        <w:t xml:space="preserve"> DE LA CONVENTION</w:t>
      </w:r>
    </w:p>
    <w:p w:rsidR="0099454D" w:rsidRPr="00C2548D" w:rsidRDefault="00C2548D" w:rsidP="0099454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46</w:t>
      </w:r>
      <w:r>
        <w:rPr>
          <w:noProof/>
        </w:rPr>
        <w:fldChar w:fldCharType="end"/>
      </w:r>
      <w:r w:rsidR="00E77CB3" w:rsidRPr="00C2548D">
        <w:rPr>
          <w:lang w:val="fr-FR"/>
        </w:rPr>
        <w:t>.  </w:t>
      </w:r>
      <w:r w:rsidR="00D67316" w:rsidRPr="00C2548D">
        <w:rPr>
          <w:lang w:val="fr-FR"/>
        </w:rPr>
        <w:t>Le requérant</w:t>
      </w:r>
      <w:r w:rsidR="00E77CB3" w:rsidRPr="00C2548D">
        <w:rPr>
          <w:lang w:val="fr-FR"/>
        </w:rPr>
        <w:t xml:space="preserve"> allègue </w:t>
      </w:r>
      <w:r w:rsidR="00241005" w:rsidRPr="00C2548D">
        <w:rPr>
          <w:lang w:val="fr-FR"/>
        </w:rPr>
        <w:t xml:space="preserve">le non-respect de sa vie familiale, reprochant aux autorités, qui ont </w:t>
      </w:r>
      <w:r w:rsidR="00FC1911" w:rsidRPr="00C2548D">
        <w:rPr>
          <w:lang w:val="fr-FR"/>
        </w:rPr>
        <w:t>d</w:t>
      </w:r>
      <w:r>
        <w:rPr>
          <w:lang w:val="fr-FR"/>
        </w:rPr>
        <w:t>’</w:t>
      </w:r>
      <w:r w:rsidR="00FC1911" w:rsidRPr="00C2548D">
        <w:rPr>
          <w:lang w:val="fr-FR"/>
        </w:rPr>
        <w:t xml:space="preserve">abord </w:t>
      </w:r>
      <w:r w:rsidR="00241005" w:rsidRPr="00C2548D">
        <w:rPr>
          <w:lang w:val="fr-FR"/>
        </w:rPr>
        <w:t>interdit tout contact avec sa fille,</w:t>
      </w:r>
      <w:r w:rsidR="00FC1911" w:rsidRPr="00C2548D">
        <w:rPr>
          <w:lang w:val="fr-FR"/>
        </w:rPr>
        <w:t xml:space="preserve"> et ensuite </w:t>
      </w:r>
      <w:r w:rsidR="00801719" w:rsidRPr="00C2548D">
        <w:rPr>
          <w:lang w:val="fr-FR"/>
        </w:rPr>
        <w:t xml:space="preserve">engagé la procédure </w:t>
      </w:r>
      <w:r w:rsidR="00F90560" w:rsidRPr="00C2548D">
        <w:rPr>
          <w:lang w:val="fr-FR"/>
        </w:rPr>
        <w:t xml:space="preserve">visant à son </w:t>
      </w:r>
      <w:r w:rsidR="00801719" w:rsidRPr="00C2548D">
        <w:rPr>
          <w:lang w:val="fr-FR"/>
        </w:rPr>
        <w:t>adoption</w:t>
      </w:r>
      <w:r w:rsidR="00FC1911" w:rsidRPr="00C2548D">
        <w:rPr>
          <w:lang w:val="fr-FR"/>
        </w:rPr>
        <w:t>,</w:t>
      </w:r>
      <w:r w:rsidR="00241005" w:rsidRPr="00C2548D">
        <w:rPr>
          <w:lang w:val="fr-FR"/>
        </w:rPr>
        <w:t xml:space="preserve"> de ne pas avoir pris les mesures appropriées afin de maintenir un quelconque lien avec elle. Il </w:t>
      </w:r>
      <w:r w:rsidR="00F90560" w:rsidRPr="00C2548D">
        <w:rPr>
          <w:lang w:val="fr-FR"/>
        </w:rPr>
        <w:t xml:space="preserve">fait valoir </w:t>
      </w:r>
      <w:r w:rsidR="00241005" w:rsidRPr="00C2548D">
        <w:rPr>
          <w:lang w:val="fr-FR"/>
        </w:rPr>
        <w:t xml:space="preserve">que les autorités se sont bornées à </w:t>
      </w:r>
      <w:r w:rsidR="00F90560" w:rsidRPr="00C2548D">
        <w:rPr>
          <w:lang w:val="fr-FR"/>
        </w:rPr>
        <w:t xml:space="preserve">prendre acte </w:t>
      </w:r>
      <w:r w:rsidR="00241005" w:rsidRPr="00C2548D">
        <w:rPr>
          <w:lang w:val="fr-FR"/>
        </w:rPr>
        <w:t>de ses difficultés économiques et sociales, sans l</w:t>
      </w:r>
      <w:r>
        <w:rPr>
          <w:lang w:val="fr-FR"/>
        </w:rPr>
        <w:t>’</w:t>
      </w:r>
      <w:r w:rsidR="00241005" w:rsidRPr="00C2548D">
        <w:rPr>
          <w:lang w:val="fr-FR"/>
        </w:rPr>
        <w:t>aider à les surmonter au moyen d</w:t>
      </w:r>
      <w:r>
        <w:rPr>
          <w:lang w:val="fr-FR"/>
        </w:rPr>
        <w:t>’</w:t>
      </w:r>
      <w:r w:rsidR="00241005" w:rsidRPr="00C2548D">
        <w:rPr>
          <w:lang w:val="fr-FR"/>
        </w:rPr>
        <w:t>une assistance sociale ciblée</w:t>
      </w:r>
      <w:r w:rsidR="00FC1911" w:rsidRPr="00C2548D">
        <w:rPr>
          <w:lang w:val="fr-FR"/>
        </w:rPr>
        <w:t>. Il invoque les articles 8 et 14 de la Convention.</w:t>
      </w:r>
    </w:p>
    <w:p w:rsidR="0099454D" w:rsidRPr="000E6D7E" w:rsidRDefault="0099454D" w:rsidP="0099454D">
      <w:pPr>
        <w:pStyle w:val="ECHRPara"/>
        <w:rPr>
          <w:i/>
          <w:lang w:val="fr-FR"/>
        </w:rPr>
      </w:pPr>
      <w:r w:rsidRPr="00FC1911">
        <w:fldChar w:fldCharType="begin"/>
      </w:r>
      <w:r w:rsidRPr="000E6D7E">
        <w:rPr>
          <w:lang w:val="fr-FR"/>
        </w:rPr>
        <w:instrText xml:space="preserve"> SEQ level0 \*arabic </w:instrText>
      </w:r>
      <w:r w:rsidRPr="00FC1911">
        <w:fldChar w:fldCharType="separate"/>
      </w:r>
      <w:r w:rsidR="00205039" w:rsidRPr="000E6D7E">
        <w:rPr>
          <w:noProof/>
          <w:lang w:val="fr-FR"/>
        </w:rPr>
        <w:t>47</w:t>
      </w:r>
      <w:r w:rsidRPr="00FC1911">
        <w:fldChar w:fldCharType="end"/>
      </w:r>
      <w:r w:rsidRPr="000E6D7E">
        <w:rPr>
          <w:lang w:val="fr-FR"/>
        </w:rPr>
        <w:t>.  Maîtresse de la qualification juridique des faits de la cause, la Cour estime approprié d</w:t>
      </w:r>
      <w:r w:rsidR="00C2548D">
        <w:rPr>
          <w:lang w:val="fr-FR"/>
        </w:rPr>
        <w:t>’</w:t>
      </w:r>
      <w:r w:rsidRPr="000E6D7E">
        <w:rPr>
          <w:lang w:val="fr-FR"/>
        </w:rPr>
        <w:t xml:space="preserve">examiner les griefs soulevés par </w:t>
      </w:r>
      <w:r w:rsidR="00F90560" w:rsidRPr="000E6D7E">
        <w:rPr>
          <w:lang w:val="fr-FR"/>
        </w:rPr>
        <w:t>le requérant</w:t>
      </w:r>
      <w:r w:rsidRPr="000E6D7E">
        <w:rPr>
          <w:lang w:val="fr-FR"/>
        </w:rPr>
        <w:t xml:space="preserve"> uniquement sous l</w:t>
      </w:r>
      <w:r w:rsidR="00C2548D">
        <w:rPr>
          <w:lang w:val="fr-FR"/>
        </w:rPr>
        <w:t>’</w:t>
      </w:r>
      <w:r w:rsidRPr="000E6D7E">
        <w:rPr>
          <w:lang w:val="fr-FR"/>
        </w:rPr>
        <w:t>angle de l</w:t>
      </w:r>
      <w:r w:rsidR="00C2548D">
        <w:rPr>
          <w:lang w:val="fr-FR"/>
        </w:rPr>
        <w:t>’</w:t>
      </w:r>
      <w:r w:rsidRPr="000E6D7E">
        <w:rPr>
          <w:lang w:val="fr-FR"/>
        </w:rPr>
        <w:t>article 8, lequel exige que le processus décisionnel débouchant sur des mesures d</w:t>
      </w:r>
      <w:r w:rsidR="00C2548D">
        <w:rPr>
          <w:lang w:val="fr-FR"/>
        </w:rPr>
        <w:t>’</w:t>
      </w:r>
      <w:r w:rsidRPr="000E6D7E">
        <w:rPr>
          <w:lang w:val="fr-FR"/>
        </w:rPr>
        <w:t>ingérence soit équitable et respecte, comme il se doit, les intérêts protégés par cette disposition (</w:t>
      </w:r>
      <w:r w:rsidR="000E6D7E" w:rsidRPr="000E6D7E">
        <w:rPr>
          <w:i/>
          <w:iCs/>
          <w:lang w:val="fr-FR"/>
        </w:rPr>
        <w:t>Moretti et Benedetti c. </w:t>
      </w:r>
      <w:r w:rsidRPr="000E6D7E">
        <w:rPr>
          <w:i/>
          <w:iCs/>
          <w:lang w:val="fr-FR"/>
        </w:rPr>
        <w:t>Italie</w:t>
      </w:r>
      <w:r w:rsidRPr="000E6D7E">
        <w:rPr>
          <w:lang w:val="fr-FR"/>
        </w:rPr>
        <w:t>, n</w:t>
      </w:r>
      <w:r w:rsidRPr="000E6D7E">
        <w:rPr>
          <w:vertAlign w:val="superscript"/>
          <w:lang w:val="fr-FR"/>
        </w:rPr>
        <w:t>o</w:t>
      </w:r>
      <w:r w:rsidRPr="000E6D7E">
        <w:rPr>
          <w:lang w:val="fr-FR"/>
        </w:rPr>
        <w:t xml:space="preserve"> 16318/07, § 27, 27 avril 2010 ; </w:t>
      </w:r>
      <w:r w:rsidRPr="000E6D7E">
        <w:rPr>
          <w:i/>
          <w:iCs/>
          <w:lang w:val="fr-FR"/>
        </w:rPr>
        <w:t>Havelka et autres c. République tchèque</w:t>
      </w:r>
      <w:r w:rsidRPr="000E6D7E">
        <w:rPr>
          <w:lang w:val="fr-FR"/>
        </w:rPr>
        <w:t>, n</w:t>
      </w:r>
      <w:r w:rsidRPr="000E6D7E">
        <w:rPr>
          <w:vertAlign w:val="superscript"/>
          <w:lang w:val="fr-FR"/>
        </w:rPr>
        <w:t>o</w:t>
      </w:r>
      <w:r w:rsidRPr="000E6D7E">
        <w:rPr>
          <w:lang w:val="fr-FR"/>
        </w:rPr>
        <w:t xml:space="preserve"> </w:t>
      </w:r>
      <w:hyperlink r:id="rId11" w:anchor="{" w:history="1">
        <w:r w:rsidRPr="000E6D7E">
          <w:rPr>
            <w:rStyle w:val="Hyperlink"/>
            <w:color w:val="auto"/>
            <w:u w:val="none"/>
            <w:lang w:val="fr-FR"/>
          </w:rPr>
          <w:t>23499/06</w:t>
        </w:r>
      </w:hyperlink>
      <w:r w:rsidRPr="000E6D7E">
        <w:rPr>
          <w:lang w:val="fr-FR"/>
        </w:rPr>
        <w:t>, §§ 34-35, 21 juin 2007</w:t>
      </w:r>
      <w:r w:rsidR="00B92E1D" w:rsidRPr="000E6D7E">
        <w:rPr>
          <w:lang w:val="fr-FR"/>
        </w:rPr>
        <w:t> </w:t>
      </w:r>
      <w:r w:rsidRPr="000E6D7E">
        <w:rPr>
          <w:lang w:val="fr-FR"/>
        </w:rPr>
        <w:t xml:space="preserve">; </w:t>
      </w:r>
      <w:r w:rsidRPr="000E6D7E">
        <w:rPr>
          <w:i/>
          <w:iCs/>
          <w:lang w:val="fr-FR"/>
        </w:rPr>
        <w:t>Kutzner c. Allemagne</w:t>
      </w:r>
      <w:r w:rsidRPr="000E6D7E">
        <w:rPr>
          <w:lang w:val="fr-FR"/>
        </w:rPr>
        <w:t>, n</w:t>
      </w:r>
      <w:r w:rsidRPr="000E6D7E">
        <w:rPr>
          <w:vertAlign w:val="superscript"/>
          <w:lang w:val="fr-FR"/>
        </w:rPr>
        <w:t>o</w:t>
      </w:r>
      <w:r w:rsidR="009F21FF" w:rsidRPr="000E6D7E">
        <w:rPr>
          <w:lang w:val="fr-FR"/>
        </w:rPr>
        <w:t> </w:t>
      </w:r>
      <w:hyperlink r:id="rId12" w:anchor="{" w:history="1">
        <w:r w:rsidRPr="000E6D7E">
          <w:rPr>
            <w:rStyle w:val="Hyperlink"/>
            <w:color w:val="auto"/>
            <w:u w:val="none"/>
            <w:lang w:val="fr-FR"/>
          </w:rPr>
          <w:t>46544/99</w:t>
        </w:r>
      </w:hyperlink>
      <w:r w:rsidRPr="000E6D7E">
        <w:rPr>
          <w:lang w:val="fr-FR"/>
        </w:rPr>
        <w:t>, § 56, CEDH 2002-I</w:t>
      </w:r>
      <w:r w:rsidR="00B92E1D" w:rsidRPr="000E6D7E">
        <w:rPr>
          <w:lang w:val="fr-FR"/>
        </w:rPr>
        <w:t> </w:t>
      </w:r>
      <w:r w:rsidRPr="000E6D7E">
        <w:rPr>
          <w:lang w:val="fr-FR"/>
        </w:rPr>
        <w:t xml:space="preserve">; </w:t>
      </w:r>
      <w:r w:rsidRPr="000E6D7E">
        <w:rPr>
          <w:i/>
          <w:iCs/>
          <w:lang w:val="fr-FR"/>
        </w:rPr>
        <w:t>Wallová et Walla c. République tchèque</w:t>
      </w:r>
      <w:r w:rsidRPr="000E6D7E">
        <w:rPr>
          <w:lang w:val="fr-FR"/>
        </w:rPr>
        <w:t>, n</w:t>
      </w:r>
      <w:r w:rsidRPr="000E6D7E">
        <w:rPr>
          <w:vertAlign w:val="superscript"/>
          <w:lang w:val="fr-FR"/>
        </w:rPr>
        <w:t>o</w:t>
      </w:r>
      <w:r w:rsidRPr="000E6D7E">
        <w:rPr>
          <w:lang w:val="fr-FR"/>
        </w:rPr>
        <w:t xml:space="preserve"> </w:t>
      </w:r>
      <w:hyperlink r:id="rId13" w:anchor="{" w:history="1">
        <w:r w:rsidRPr="000E6D7E">
          <w:rPr>
            <w:rStyle w:val="Hyperlink"/>
            <w:color w:val="auto"/>
            <w:u w:val="none"/>
            <w:lang w:val="fr-FR"/>
          </w:rPr>
          <w:t>23848/04</w:t>
        </w:r>
      </w:hyperlink>
      <w:r w:rsidRPr="000E6D7E">
        <w:rPr>
          <w:lang w:val="fr-FR"/>
        </w:rPr>
        <w:t>, § 47, 26 octobre 2006</w:t>
      </w:r>
      <w:r w:rsidR="00FC1911" w:rsidRPr="000E6D7E">
        <w:rPr>
          <w:lang w:val="fr-FR"/>
        </w:rPr>
        <w:t xml:space="preserve"> ; </w:t>
      </w:r>
      <w:r w:rsidR="00FC1911" w:rsidRPr="000E6D7E">
        <w:rPr>
          <w:i/>
          <w:lang w:val="fr-FR"/>
        </w:rPr>
        <w:t>Zhou c. Italie</w:t>
      </w:r>
      <w:r w:rsidR="00FC1911" w:rsidRPr="000E6D7E">
        <w:rPr>
          <w:snapToGrid w:val="0"/>
          <w:lang w:val="fr-FR"/>
        </w:rPr>
        <w:t xml:space="preserve">, </w:t>
      </w:r>
      <w:r w:rsidR="00FC1911" w:rsidRPr="000E6D7E">
        <w:rPr>
          <w:lang w:val="fr-FR"/>
        </w:rPr>
        <w:t>n</w:t>
      </w:r>
      <w:r w:rsidR="00FC1911" w:rsidRPr="000E6D7E">
        <w:rPr>
          <w:vertAlign w:val="superscript"/>
          <w:lang w:val="fr-FR"/>
        </w:rPr>
        <w:t>o</w:t>
      </w:r>
      <w:r w:rsidR="00FC1911" w:rsidRPr="000E6D7E">
        <w:rPr>
          <w:lang w:val="fr-FR"/>
        </w:rPr>
        <w:t xml:space="preserve"> 33773/11, § 28, 21</w:t>
      </w:r>
      <w:r w:rsidR="00205039" w:rsidRPr="000E6D7E">
        <w:rPr>
          <w:lang w:val="fr-FR"/>
        </w:rPr>
        <w:t> </w:t>
      </w:r>
      <w:r w:rsidR="00FC1911" w:rsidRPr="000E6D7E">
        <w:rPr>
          <w:lang w:val="fr-FR"/>
        </w:rPr>
        <w:t>janvier 2014</w:t>
      </w:r>
      <w:r w:rsidRPr="000E6D7E">
        <w:rPr>
          <w:lang w:val="fr-FR"/>
        </w:rPr>
        <w:t>).</w:t>
      </w:r>
    </w:p>
    <w:p w:rsidR="0099454D" w:rsidRPr="000E6D7E" w:rsidRDefault="0099454D" w:rsidP="0099454D">
      <w:pPr>
        <w:pStyle w:val="ECHRPara"/>
        <w:rPr>
          <w:lang w:val="fr-FR"/>
        </w:rPr>
      </w:pPr>
      <w:r w:rsidRPr="000E6D7E">
        <w:rPr>
          <w:lang w:val="fr-FR"/>
        </w:rPr>
        <w:t>L</w:t>
      </w:r>
      <w:r w:rsidR="00C2548D">
        <w:rPr>
          <w:lang w:val="fr-FR"/>
        </w:rPr>
        <w:t>’</w:t>
      </w:r>
      <w:r w:rsidRPr="000E6D7E">
        <w:rPr>
          <w:lang w:val="fr-FR"/>
        </w:rPr>
        <w:t>article 8 de la Convention prévoit</w:t>
      </w:r>
      <w:r w:rsidR="00B92E1D" w:rsidRPr="000E6D7E">
        <w:rPr>
          <w:lang w:val="fr-FR"/>
        </w:rPr>
        <w:t> </w:t>
      </w:r>
      <w:r w:rsidRPr="000E6D7E">
        <w:rPr>
          <w:lang w:val="fr-FR"/>
        </w:rPr>
        <w:t>:</w:t>
      </w:r>
    </w:p>
    <w:p w:rsidR="00110FD6" w:rsidRPr="00C2548D" w:rsidRDefault="00110FD6" w:rsidP="000E6D7E">
      <w:pPr>
        <w:pStyle w:val="ECHRParaQuote"/>
        <w:rPr>
          <w:lang w:val="fr-FR"/>
        </w:rPr>
      </w:pPr>
      <w:r w:rsidRPr="000E6D7E">
        <w:rPr>
          <w:lang w:val="fr-FR"/>
        </w:rPr>
        <w:t xml:space="preserve">« 1.  Toute personne a droit au respect de sa vie privée et familiale, de son domicile </w:t>
      </w:r>
      <w:r w:rsidRPr="00C2548D">
        <w:rPr>
          <w:lang w:val="fr-FR"/>
        </w:rPr>
        <w:t>et de sa correspondance.</w:t>
      </w:r>
    </w:p>
    <w:p w:rsidR="00E77CB3" w:rsidRPr="00C2548D" w:rsidRDefault="00110FD6" w:rsidP="000E6D7E">
      <w:pPr>
        <w:pStyle w:val="ECHRParaQuote"/>
        <w:rPr>
          <w:lang w:val="fr-FR"/>
        </w:rPr>
      </w:pPr>
      <w:r w:rsidRPr="00C2548D">
        <w:rPr>
          <w:lang w:val="fr-FR"/>
        </w:rPr>
        <w:t>2.  Il ne peut y avoir ingérence d</w:t>
      </w:r>
      <w:r w:rsidR="00C2548D">
        <w:rPr>
          <w:lang w:val="fr-FR"/>
        </w:rPr>
        <w:t>’</w:t>
      </w:r>
      <w:r w:rsidRPr="00C2548D">
        <w:rPr>
          <w:lang w:val="fr-FR"/>
        </w:rPr>
        <w:t>une autorité publique dans l</w:t>
      </w:r>
      <w:r w:rsidR="00C2548D">
        <w:rPr>
          <w:lang w:val="fr-FR"/>
        </w:rPr>
        <w:t>’</w:t>
      </w:r>
      <w:r w:rsidRPr="00C2548D">
        <w:rPr>
          <w:lang w:val="fr-FR"/>
        </w:rPr>
        <w:t>exercice de ce droit que pour autant que cette ingérence est prévue par la loi et qu</w:t>
      </w:r>
      <w:r w:rsidR="00C2548D">
        <w:rPr>
          <w:lang w:val="fr-FR"/>
        </w:rPr>
        <w:t>’</w:t>
      </w:r>
      <w:r w:rsidRPr="00C2548D">
        <w:rPr>
          <w:lang w:val="fr-FR"/>
        </w:rPr>
        <w:t>elle constitue une mesure qui, dans une société démocratique, est nécessaire à la sécurité nationale, à la sûreté publique, au bien</w:t>
      </w:r>
      <w:r w:rsidRPr="00C2548D">
        <w:rPr>
          <w:lang w:val="fr-FR"/>
        </w:rPr>
        <w:noBreakHyphen/>
        <w:t>être économique du pays, à la défense de l</w:t>
      </w:r>
      <w:r w:rsidR="00C2548D">
        <w:rPr>
          <w:lang w:val="fr-FR"/>
        </w:rPr>
        <w:t>’</w:t>
      </w:r>
      <w:r w:rsidRPr="00C2548D">
        <w:rPr>
          <w:lang w:val="fr-FR"/>
        </w:rPr>
        <w:t>ordre et à la prévention des infractions pénales, à la protection de la santé ou de la morale, ou à la protection des droits et libertés d</w:t>
      </w:r>
      <w:r w:rsidR="00C2548D">
        <w:rPr>
          <w:lang w:val="fr-FR"/>
        </w:rPr>
        <w:t>’</w:t>
      </w:r>
      <w:r w:rsidRPr="00C2548D">
        <w:rPr>
          <w:lang w:val="fr-FR"/>
        </w:rPr>
        <w:t>autrui. »</w:t>
      </w:r>
    </w:p>
    <w:p w:rsidR="00E77CB3"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48</w:t>
      </w:r>
      <w:r>
        <w:rPr>
          <w:noProof/>
        </w:rPr>
        <w:fldChar w:fldCharType="end"/>
      </w:r>
      <w:r w:rsidR="00FC1911" w:rsidRPr="00C2548D">
        <w:rPr>
          <w:lang w:val="fr-FR"/>
        </w:rPr>
        <w:t>.  </w:t>
      </w:r>
      <w:r w:rsidR="00E77CB3" w:rsidRPr="00C2548D">
        <w:rPr>
          <w:lang w:val="fr-FR"/>
        </w:rPr>
        <w:t xml:space="preserve">Le Gouvernement </w:t>
      </w:r>
      <w:r w:rsidR="006767B6" w:rsidRPr="00C2548D">
        <w:rPr>
          <w:lang w:val="fr-FR"/>
        </w:rPr>
        <w:t>conteste la thèse du requérant</w:t>
      </w:r>
      <w:r w:rsidR="00E77CB3" w:rsidRPr="00C2548D">
        <w:rPr>
          <w:lang w:val="fr-FR"/>
        </w:rPr>
        <w:t>.</w:t>
      </w:r>
    </w:p>
    <w:p w:rsidR="00E77CB3" w:rsidRPr="00C2548D" w:rsidRDefault="00E77CB3" w:rsidP="000E6D7E">
      <w:pPr>
        <w:pStyle w:val="ECHRHeading2"/>
        <w:rPr>
          <w:lang w:val="fr-FR"/>
        </w:rPr>
      </w:pPr>
      <w:r w:rsidRPr="00C2548D">
        <w:rPr>
          <w:lang w:val="fr-FR"/>
        </w:rPr>
        <w:t>A.  Sur la recevabilité</w:t>
      </w:r>
    </w:p>
    <w:p w:rsidR="00E77CB3"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49</w:t>
      </w:r>
      <w:r>
        <w:rPr>
          <w:noProof/>
        </w:rPr>
        <w:fldChar w:fldCharType="end"/>
      </w:r>
      <w:r w:rsidR="00E77CB3" w:rsidRPr="00C2548D">
        <w:rPr>
          <w:lang w:val="fr-FR"/>
        </w:rPr>
        <w:t xml:space="preserve">.  La Cour constate que </w:t>
      </w:r>
      <w:r w:rsidR="00D67316" w:rsidRPr="00C2548D">
        <w:rPr>
          <w:lang w:val="fr-FR"/>
        </w:rPr>
        <w:t>la requête</w:t>
      </w:r>
      <w:r w:rsidR="00E77CB3" w:rsidRPr="00C2548D">
        <w:rPr>
          <w:lang w:val="fr-FR"/>
        </w:rPr>
        <w:t xml:space="preserve"> n</w:t>
      </w:r>
      <w:r>
        <w:rPr>
          <w:lang w:val="fr-FR"/>
        </w:rPr>
        <w:t>’</w:t>
      </w:r>
      <w:r w:rsidR="00110FD6" w:rsidRPr="00C2548D">
        <w:rPr>
          <w:lang w:val="fr-FR"/>
        </w:rPr>
        <w:t>est pas manifestement mal fond</w:t>
      </w:r>
      <w:r w:rsidR="008C7378" w:rsidRPr="00C2548D">
        <w:rPr>
          <w:lang w:val="fr-FR"/>
        </w:rPr>
        <w:t>ée</w:t>
      </w:r>
      <w:r w:rsidR="00FC1911" w:rsidRPr="00C2548D">
        <w:rPr>
          <w:lang w:val="fr-FR"/>
        </w:rPr>
        <w:t xml:space="preserve"> </w:t>
      </w:r>
      <w:r w:rsidR="00E77CB3" w:rsidRPr="00C2548D">
        <w:rPr>
          <w:lang w:val="fr-FR"/>
        </w:rPr>
        <w:t>au sens de l</w:t>
      </w:r>
      <w:r>
        <w:rPr>
          <w:lang w:val="fr-FR"/>
        </w:rPr>
        <w:t>’</w:t>
      </w:r>
      <w:r w:rsidR="00E77CB3" w:rsidRPr="00C2548D">
        <w:rPr>
          <w:lang w:val="fr-FR"/>
        </w:rPr>
        <w:t>article 35 § 3 a) de la Convention</w:t>
      </w:r>
      <w:r w:rsidR="00F90560" w:rsidRPr="00C2548D">
        <w:rPr>
          <w:lang w:val="fr-FR"/>
        </w:rPr>
        <w:t>,</w:t>
      </w:r>
      <w:r w:rsidR="00694A2E" w:rsidRPr="00C2548D">
        <w:rPr>
          <w:lang w:val="fr-FR"/>
        </w:rPr>
        <w:t xml:space="preserve"> et qu</w:t>
      </w:r>
      <w:r>
        <w:rPr>
          <w:lang w:val="fr-FR"/>
        </w:rPr>
        <w:t>’</w:t>
      </w:r>
      <w:r w:rsidR="00694A2E" w:rsidRPr="00C2548D">
        <w:rPr>
          <w:lang w:val="fr-FR"/>
        </w:rPr>
        <w:t xml:space="preserve">elle ne se heurte par ailleurs </w:t>
      </w:r>
      <w:r w:rsidR="00E77CB3" w:rsidRPr="00C2548D">
        <w:rPr>
          <w:lang w:val="fr-FR"/>
        </w:rPr>
        <w:t>à aucun autre motif d</w:t>
      </w:r>
      <w:r>
        <w:rPr>
          <w:lang w:val="fr-FR"/>
        </w:rPr>
        <w:t>’</w:t>
      </w:r>
      <w:r w:rsidR="00E77CB3" w:rsidRPr="00C2548D">
        <w:rPr>
          <w:lang w:val="fr-FR"/>
        </w:rPr>
        <w:t>irrecevabilité</w:t>
      </w:r>
      <w:r w:rsidR="00F90560" w:rsidRPr="00C2548D">
        <w:rPr>
          <w:lang w:val="fr-FR"/>
        </w:rPr>
        <w:t>. Partant</w:t>
      </w:r>
      <w:r w:rsidR="000F00EF" w:rsidRPr="00C2548D">
        <w:rPr>
          <w:lang w:val="fr-FR"/>
        </w:rPr>
        <w:t>, la Cour la déclare recevable</w:t>
      </w:r>
      <w:r w:rsidR="00E77CB3" w:rsidRPr="00C2548D">
        <w:rPr>
          <w:lang w:val="fr-FR"/>
        </w:rPr>
        <w:t>.</w:t>
      </w:r>
    </w:p>
    <w:p w:rsidR="00E77CB3" w:rsidRPr="00C2548D" w:rsidRDefault="00E77CB3" w:rsidP="000E6D7E">
      <w:pPr>
        <w:pStyle w:val="ECHRHeading2"/>
        <w:rPr>
          <w:lang w:val="fr-FR"/>
        </w:rPr>
      </w:pPr>
      <w:r w:rsidRPr="00C2548D">
        <w:rPr>
          <w:lang w:val="fr-FR"/>
        </w:rPr>
        <w:t>B.  Sur le fond</w:t>
      </w:r>
    </w:p>
    <w:p w:rsidR="00C744C1" w:rsidRPr="00C2548D" w:rsidRDefault="00C744C1" w:rsidP="00C744C1">
      <w:pPr>
        <w:pStyle w:val="ECHRHeading3"/>
        <w:rPr>
          <w:lang w:val="fr-FR"/>
        </w:rPr>
      </w:pPr>
      <w:r w:rsidRPr="00C2548D">
        <w:rPr>
          <w:lang w:val="fr-FR"/>
        </w:rPr>
        <w:t>1.  Thèses des parties</w:t>
      </w:r>
    </w:p>
    <w:p w:rsidR="005E33FC" w:rsidRPr="00C2548D" w:rsidRDefault="00C2548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50</w:t>
      </w:r>
      <w:r>
        <w:rPr>
          <w:noProof/>
        </w:rPr>
        <w:fldChar w:fldCharType="end"/>
      </w:r>
      <w:r w:rsidR="00E77CB3" w:rsidRPr="00C2548D">
        <w:rPr>
          <w:lang w:val="fr-FR"/>
        </w:rPr>
        <w:t>.  </w:t>
      </w:r>
      <w:r w:rsidR="00D67316" w:rsidRPr="00C2548D">
        <w:rPr>
          <w:lang w:val="fr-FR"/>
        </w:rPr>
        <w:t>Le requérant</w:t>
      </w:r>
      <w:r w:rsidR="00E77CB3" w:rsidRPr="00C2548D">
        <w:rPr>
          <w:lang w:val="fr-FR"/>
        </w:rPr>
        <w:t xml:space="preserve"> </w:t>
      </w:r>
      <w:r w:rsidR="00E1474B" w:rsidRPr="00C2548D">
        <w:rPr>
          <w:lang w:val="fr-FR"/>
        </w:rPr>
        <w:t>expose </w:t>
      </w:r>
      <w:r w:rsidR="004542C7" w:rsidRPr="00C2548D">
        <w:rPr>
          <w:lang w:val="fr-FR"/>
        </w:rPr>
        <w:t>que</w:t>
      </w:r>
      <w:r w:rsidR="00801719" w:rsidRPr="00C2548D">
        <w:rPr>
          <w:lang w:val="fr-FR"/>
        </w:rPr>
        <w:t>,</w:t>
      </w:r>
      <w:r w:rsidR="004542C7" w:rsidRPr="00C2548D">
        <w:rPr>
          <w:lang w:val="fr-FR"/>
        </w:rPr>
        <w:t xml:space="preserve"> </w:t>
      </w:r>
      <w:r w:rsidR="00FC1911" w:rsidRPr="00C2548D">
        <w:rPr>
          <w:lang w:val="fr-FR"/>
        </w:rPr>
        <w:t>dès</w:t>
      </w:r>
      <w:r w:rsidR="004542C7" w:rsidRPr="00C2548D">
        <w:rPr>
          <w:lang w:val="fr-FR"/>
        </w:rPr>
        <w:t xml:space="preserve"> son arrivé</w:t>
      </w:r>
      <w:r w:rsidR="008C7378" w:rsidRPr="00C2548D">
        <w:rPr>
          <w:lang w:val="fr-FR"/>
        </w:rPr>
        <w:t>e</w:t>
      </w:r>
      <w:r w:rsidR="004542C7" w:rsidRPr="00C2548D">
        <w:rPr>
          <w:lang w:val="fr-FR"/>
        </w:rPr>
        <w:t xml:space="preserve"> en </w:t>
      </w:r>
      <w:r w:rsidR="00801719" w:rsidRPr="00C2548D">
        <w:rPr>
          <w:lang w:val="fr-FR"/>
        </w:rPr>
        <w:t>Italie,</w:t>
      </w:r>
      <w:r w:rsidR="004542C7" w:rsidRPr="00C2548D">
        <w:rPr>
          <w:lang w:val="fr-FR"/>
        </w:rPr>
        <w:t xml:space="preserve"> </w:t>
      </w:r>
      <w:r w:rsidR="008C7378" w:rsidRPr="00C2548D">
        <w:rPr>
          <w:lang w:val="fr-FR"/>
        </w:rPr>
        <w:t xml:space="preserve">il </w:t>
      </w:r>
      <w:r w:rsidR="004542C7" w:rsidRPr="00C2548D">
        <w:rPr>
          <w:lang w:val="fr-FR"/>
        </w:rPr>
        <w:t>s</w:t>
      </w:r>
      <w:r>
        <w:rPr>
          <w:lang w:val="fr-FR"/>
        </w:rPr>
        <w:t>’</w:t>
      </w:r>
      <w:r w:rsidR="004542C7" w:rsidRPr="00C2548D">
        <w:rPr>
          <w:lang w:val="fr-FR"/>
        </w:rPr>
        <w:t>est trouvé</w:t>
      </w:r>
      <w:r w:rsidR="008C7378" w:rsidRPr="00C2548D">
        <w:rPr>
          <w:lang w:val="fr-FR"/>
        </w:rPr>
        <w:t>, bien</w:t>
      </w:r>
      <w:r w:rsidR="004542C7" w:rsidRPr="00C2548D">
        <w:rPr>
          <w:lang w:val="fr-FR"/>
        </w:rPr>
        <w:t xml:space="preserve"> </w:t>
      </w:r>
      <w:r w:rsidR="00FC1911" w:rsidRPr="00C2548D">
        <w:rPr>
          <w:lang w:val="fr-FR"/>
        </w:rPr>
        <w:t>malgré</w:t>
      </w:r>
      <w:r w:rsidR="00801719" w:rsidRPr="00C2548D">
        <w:rPr>
          <w:lang w:val="fr-FR"/>
        </w:rPr>
        <w:t xml:space="preserve"> lui</w:t>
      </w:r>
      <w:r w:rsidR="008C7378" w:rsidRPr="00C2548D">
        <w:rPr>
          <w:lang w:val="fr-FR"/>
        </w:rPr>
        <w:t>,</w:t>
      </w:r>
      <w:r w:rsidR="00801719" w:rsidRPr="00C2548D">
        <w:rPr>
          <w:lang w:val="fr-FR"/>
        </w:rPr>
        <w:t xml:space="preserve"> arrêté et impliqué</w:t>
      </w:r>
      <w:r w:rsidR="004542C7" w:rsidRPr="00C2548D">
        <w:rPr>
          <w:lang w:val="fr-FR"/>
        </w:rPr>
        <w:t xml:space="preserve"> dans un procès </w:t>
      </w:r>
      <w:r w:rsidR="00801719" w:rsidRPr="00C2548D">
        <w:rPr>
          <w:lang w:val="fr-FR"/>
        </w:rPr>
        <w:t>pénal</w:t>
      </w:r>
      <w:r w:rsidR="00E1474B" w:rsidRPr="00C2548D">
        <w:rPr>
          <w:lang w:val="fr-FR"/>
        </w:rPr>
        <w:t>, qui s</w:t>
      </w:r>
      <w:r>
        <w:rPr>
          <w:lang w:val="fr-FR"/>
        </w:rPr>
        <w:t>’</w:t>
      </w:r>
      <w:r w:rsidR="00E1474B" w:rsidRPr="00C2548D">
        <w:rPr>
          <w:lang w:val="fr-FR"/>
        </w:rPr>
        <w:t>est ultérieurement so</w:t>
      </w:r>
      <w:r w:rsidR="00101003" w:rsidRPr="00C2548D">
        <w:rPr>
          <w:lang w:val="fr-FR"/>
        </w:rPr>
        <w:t>l</w:t>
      </w:r>
      <w:r w:rsidR="00E1474B" w:rsidRPr="00C2548D">
        <w:rPr>
          <w:lang w:val="fr-FR"/>
        </w:rPr>
        <w:t>dé</w:t>
      </w:r>
      <w:r w:rsidR="004542C7" w:rsidRPr="00C2548D">
        <w:rPr>
          <w:lang w:val="fr-FR"/>
        </w:rPr>
        <w:t xml:space="preserve"> par </w:t>
      </w:r>
      <w:r w:rsidR="00E1474B" w:rsidRPr="00C2548D">
        <w:rPr>
          <w:lang w:val="fr-FR"/>
        </w:rPr>
        <w:t xml:space="preserve">son </w:t>
      </w:r>
      <w:r w:rsidR="00FC1911" w:rsidRPr="00C2548D">
        <w:rPr>
          <w:lang w:val="fr-FR"/>
        </w:rPr>
        <w:t>acquittement</w:t>
      </w:r>
      <w:r w:rsidR="00E1474B" w:rsidRPr="00C2548D">
        <w:rPr>
          <w:lang w:val="fr-FR"/>
        </w:rPr>
        <w:t xml:space="preserve"> ; et </w:t>
      </w:r>
      <w:r w:rsidR="00136E76" w:rsidRPr="00C2548D">
        <w:rPr>
          <w:lang w:val="fr-FR"/>
        </w:rPr>
        <w:t>q</w:t>
      </w:r>
      <w:r w:rsidR="00E1474B" w:rsidRPr="00C2548D">
        <w:rPr>
          <w:lang w:val="fr-FR"/>
        </w:rPr>
        <w:t>ue c</w:t>
      </w:r>
      <w:r>
        <w:rPr>
          <w:lang w:val="fr-FR"/>
        </w:rPr>
        <w:t>’</w:t>
      </w:r>
      <w:r w:rsidR="00E1474B" w:rsidRPr="00C2548D">
        <w:rPr>
          <w:lang w:val="fr-FR"/>
        </w:rPr>
        <w:t>est ce procès qui l</w:t>
      </w:r>
      <w:r>
        <w:rPr>
          <w:lang w:val="fr-FR"/>
        </w:rPr>
        <w:t>’</w:t>
      </w:r>
      <w:r w:rsidR="00E1474B" w:rsidRPr="00C2548D">
        <w:rPr>
          <w:lang w:val="fr-FR"/>
        </w:rPr>
        <w:t>a conduit à passer</w:t>
      </w:r>
      <w:r w:rsidR="004542C7" w:rsidRPr="00C2548D">
        <w:rPr>
          <w:lang w:val="fr-FR"/>
        </w:rPr>
        <w:t xml:space="preserve"> une longue période </w:t>
      </w:r>
      <w:r w:rsidR="00FC1911" w:rsidRPr="00C2548D">
        <w:rPr>
          <w:lang w:val="fr-FR"/>
        </w:rPr>
        <w:t>séparé</w:t>
      </w:r>
      <w:r w:rsidR="004542C7" w:rsidRPr="00C2548D">
        <w:rPr>
          <w:lang w:val="fr-FR"/>
        </w:rPr>
        <w:t xml:space="preserve"> de sa fille</w:t>
      </w:r>
      <w:r w:rsidR="00136E76" w:rsidRPr="00C2548D">
        <w:rPr>
          <w:lang w:val="fr-FR"/>
        </w:rPr>
        <w:t>.</w:t>
      </w:r>
    </w:p>
    <w:p w:rsidR="004542C7" w:rsidRPr="00C2548D" w:rsidRDefault="00136E76">
      <w:pPr>
        <w:pStyle w:val="ECHRPara"/>
        <w:rPr>
          <w:lang w:val="fr-FR"/>
        </w:rPr>
      </w:pPr>
      <w:r w:rsidRPr="00C2548D">
        <w:rPr>
          <w:lang w:val="fr-FR"/>
        </w:rPr>
        <w:t>Faisant toutefois remarquer qu</w:t>
      </w:r>
      <w:r w:rsidR="00C2548D">
        <w:rPr>
          <w:lang w:val="fr-FR"/>
        </w:rPr>
        <w:t>’</w:t>
      </w:r>
      <w:r w:rsidR="00E1474B" w:rsidRPr="00C2548D">
        <w:rPr>
          <w:lang w:val="fr-FR"/>
        </w:rPr>
        <w:t xml:space="preserve">il </w:t>
      </w:r>
      <w:r w:rsidR="002D4302" w:rsidRPr="00C2548D">
        <w:rPr>
          <w:lang w:val="fr-FR"/>
        </w:rPr>
        <w:t xml:space="preserve">a envoyé </w:t>
      </w:r>
      <w:r w:rsidR="00E1474B" w:rsidRPr="00C2548D">
        <w:rPr>
          <w:lang w:val="fr-FR"/>
        </w:rPr>
        <w:t>à l</w:t>
      </w:r>
      <w:r w:rsidR="00C2548D">
        <w:rPr>
          <w:lang w:val="fr-FR"/>
        </w:rPr>
        <w:t>’</w:t>
      </w:r>
      <w:r w:rsidR="00E1474B" w:rsidRPr="00C2548D">
        <w:rPr>
          <w:lang w:val="fr-FR"/>
        </w:rPr>
        <w:t xml:space="preserve">enfant </w:t>
      </w:r>
      <w:r w:rsidR="00FC1911" w:rsidRPr="00C2548D">
        <w:rPr>
          <w:lang w:val="fr-FR"/>
        </w:rPr>
        <w:t>plusieurs</w:t>
      </w:r>
      <w:r w:rsidR="002D4302" w:rsidRPr="00C2548D">
        <w:rPr>
          <w:lang w:val="fr-FR"/>
        </w:rPr>
        <w:t xml:space="preserve"> </w:t>
      </w:r>
      <w:r w:rsidR="00ED404D" w:rsidRPr="00C2548D">
        <w:rPr>
          <w:lang w:val="fr-FR"/>
        </w:rPr>
        <w:t>lettres</w:t>
      </w:r>
      <w:r w:rsidR="00F90560" w:rsidRPr="00C2548D">
        <w:rPr>
          <w:lang w:val="fr-FR"/>
        </w:rPr>
        <w:t>,</w:t>
      </w:r>
      <w:r w:rsidR="002D4302" w:rsidRPr="00C2548D">
        <w:rPr>
          <w:lang w:val="fr-FR"/>
        </w:rPr>
        <w:t xml:space="preserve"> </w:t>
      </w:r>
      <w:r w:rsidRPr="00C2548D">
        <w:rPr>
          <w:lang w:val="fr-FR"/>
        </w:rPr>
        <w:t xml:space="preserve">il y voit la preuve </w:t>
      </w:r>
      <w:r w:rsidR="002D4302" w:rsidRPr="00C2548D">
        <w:rPr>
          <w:lang w:val="fr-FR"/>
        </w:rPr>
        <w:t xml:space="preserve">que le lien </w:t>
      </w:r>
      <w:r w:rsidR="00FC1911" w:rsidRPr="00C2548D">
        <w:rPr>
          <w:lang w:val="fr-FR"/>
        </w:rPr>
        <w:t>affectif</w:t>
      </w:r>
      <w:r w:rsidR="002D4302" w:rsidRPr="00C2548D">
        <w:rPr>
          <w:lang w:val="fr-FR"/>
        </w:rPr>
        <w:t xml:space="preserve"> n</w:t>
      </w:r>
      <w:r w:rsidR="00C2548D">
        <w:rPr>
          <w:lang w:val="fr-FR"/>
        </w:rPr>
        <w:t>’</w:t>
      </w:r>
      <w:r w:rsidR="002D4302" w:rsidRPr="00C2548D">
        <w:rPr>
          <w:lang w:val="fr-FR"/>
        </w:rPr>
        <w:t>était pas rompu.</w:t>
      </w:r>
    </w:p>
    <w:p w:rsidR="00E54694" w:rsidRPr="00C2548D" w:rsidRDefault="00C2548D" w:rsidP="005E33FC">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51</w:t>
      </w:r>
      <w:r>
        <w:rPr>
          <w:noProof/>
        </w:rPr>
        <w:fldChar w:fldCharType="end"/>
      </w:r>
      <w:r w:rsidR="002D4302" w:rsidRPr="00C2548D">
        <w:rPr>
          <w:lang w:val="fr-FR"/>
        </w:rPr>
        <w:t>.  </w:t>
      </w:r>
      <w:r w:rsidR="00E54694" w:rsidRPr="00C2548D">
        <w:rPr>
          <w:lang w:val="fr-FR"/>
        </w:rPr>
        <w:t>Il explique</w:t>
      </w:r>
      <w:r w:rsidR="00BA4786" w:rsidRPr="00C2548D">
        <w:rPr>
          <w:lang w:val="fr-FR"/>
        </w:rPr>
        <w:t> :</w:t>
      </w:r>
    </w:p>
    <w:p w:rsidR="005E33FC" w:rsidRPr="00C2548D" w:rsidRDefault="00E54694" w:rsidP="005E33FC">
      <w:pPr>
        <w:pStyle w:val="ECHRPara"/>
        <w:rPr>
          <w:lang w:val="fr-FR"/>
        </w:rPr>
      </w:pPr>
      <w:r w:rsidRPr="00C2548D">
        <w:rPr>
          <w:lang w:val="fr-FR"/>
        </w:rPr>
        <w:t>–</w:t>
      </w:r>
      <w:r w:rsidR="00ED0C57" w:rsidRPr="00C2548D">
        <w:rPr>
          <w:lang w:val="fr-FR"/>
        </w:rPr>
        <w:t>  </w:t>
      </w:r>
      <w:r w:rsidR="00F90560" w:rsidRPr="00C2548D">
        <w:rPr>
          <w:lang w:val="fr-FR"/>
        </w:rPr>
        <w:t xml:space="preserve">que </w:t>
      </w:r>
      <w:r w:rsidR="00886AE2" w:rsidRPr="00C2548D">
        <w:rPr>
          <w:lang w:val="fr-FR"/>
        </w:rPr>
        <w:t xml:space="preserve">si le déroulement de </w:t>
      </w:r>
      <w:r w:rsidR="00F90560" w:rsidRPr="00C2548D">
        <w:rPr>
          <w:lang w:val="fr-FR"/>
        </w:rPr>
        <w:t>la</w:t>
      </w:r>
      <w:r w:rsidR="002D4302" w:rsidRPr="00C2548D">
        <w:rPr>
          <w:lang w:val="fr-FR"/>
        </w:rPr>
        <w:t xml:space="preserve"> seule rencontre </w:t>
      </w:r>
      <w:r w:rsidR="00F90560" w:rsidRPr="00C2548D">
        <w:rPr>
          <w:lang w:val="fr-FR"/>
        </w:rPr>
        <w:t>autorisée</w:t>
      </w:r>
      <w:r w:rsidR="002D4302" w:rsidRPr="00C2548D">
        <w:rPr>
          <w:lang w:val="fr-FR"/>
        </w:rPr>
        <w:t xml:space="preserve"> </w:t>
      </w:r>
      <w:r w:rsidR="00136E76" w:rsidRPr="00C2548D">
        <w:rPr>
          <w:lang w:val="fr-FR"/>
        </w:rPr>
        <w:t xml:space="preserve">avec A. </w:t>
      </w:r>
      <w:r w:rsidR="00886AE2" w:rsidRPr="00C2548D">
        <w:rPr>
          <w:lang w:val="fr-FR"/>
        </w:rPr>
        <w:t>avait</w:t>
      </w:r>
      <w:r w:rsidR="00136E76" w:rsidRPr="00C2548D">
        <w:rPr>
          <w:lang w:val="fr-FR"/>
        </w:rPr>
        <w:t>,</w:t>
      </w:r>
      <w:r w:rsidR="00886AE2" w:rsidRPr="00C2548D">
        <w:rPr>
          <w:lang w:val="fr-FR"/>
        </w:rPr>
        <w:t xml:space="preserve"> certes</w:t>
      </w:r>
      <w:r w:rsidR="00136E76" w:rsidRPr="00C2548D">
        <w:rPr>
          <w:lang w:val="fr-FR"/>
        </w:rPr>
        <w:t>,</w:t>
      </w:r>
      <w:r w:rsidR="00886AE2" w:rsidRPr="00C2548D">
        <w:rPr>
          <w:lang w:val="fr-FR"/>
        </w:rPr>
        <w:t xml:space="preserve"> été</w:t>
      </w:r>
      <w:r w:rsidR="002D4302" w:rsidRPr="00C2548D">
        <w:rPr>
          <w:lang w:val="fr-FR"/>
        </w:rPr>
        <w:t xml:space="preserve"> difficile</w:t>
      </w:r>
      <w:r w:rsidR="00886AE2" w:rsidRPr="00C2548D">
        <w:rPr>
          <w:lang w:val="fr-FR"/>
        </w:rPr>
        <w:t xml:space="preserve">, </w:t>
      </w:r>
      <w:r w:rsidR="00136E76" w:rsidRPr="00C2548D">
        <w:rPr>
          <w:lang w:val="fr-FR"/>
        </w:rPr>
        <w:t>l</w:t>
      </w:r>
      <w:r w:rsidR="00C2548D">
        <w:rPr>
          <w:lang w:val="fr-FR"/>
        </w:rPr>
        <w:t>’</w:t>
      </w:r>
      <w:r w:rsidR="00136E76" w:rsidRPr="00C2548D">
        <w:rPr>
          <w:lang w:val="fr-FR"/>
        </w:rPr>
        <w:t>attitude de l</w:t>
      </w:r>
      <w:r w:rsidR="00C2548D">
        <w:rPr>
          <w:lang w:val="fr-FR"/>
        </w:rPr>
        <w:t>’</w:t>
      </w:r>
      <w:r w:rsidR="00136E76" w:rsidRPr="00C2548D">
        <w:rPr>
          <w:lang w:val="fr-FR"/>
        </w:rPr>
        <w:t>enfant</w:t>
      </w:r>
      <w:r w:rsidR="002D4302" w:rsidRPr="00C2548D">
        <w:rPr>
          <w:lang w:val="fr-FR"/>
        </w:rPr>
        <w:t xml:space="preserve"> </w:t>
      </w:r>
      <w:r w:rsidR="00136E76" w:rsidRPr="00C2548D">
        <w:rPr>
          <w:lang w:val="fr-FR"/>
        </w:rPr>
        <w:t>envers lui à la fin de cette rencontre était devenue positive</w:t>
      </w:r>
      <w:r w:rsidRPr="00C2548D">
        <w:rPr>
          <w:lang w:val="fr-FR"/>
        </w:rPr>
        <w:t> ;</w:t>
      </w:r>
    </w:p>
    <w:p w:rsidR="00E54694" w:rsidRPr="00C2548D" w:rsidRDefault="00E54694" w:rsidP="005E33FC">
      <w:pPr>
        <w:pStyle w:val="ECHRPara"/>
        <w:rPr>
          <w:lang w:val="fr-FR"/>
        </w:rPr>
      </w:pPr>
      <w:r w:rsidRPr="00C2548D">
        <w:rPr>
          <w:lang w:val="fr-FR"/>
        </w:rPr>
        <w:t>–</w:t>
      </w:r>
      <w:r w:rsidR="00ED0C57" w:rsidRPr="00C2548D">
        <w:rPr>
          <w:lang w:val="fr-FR"/>
        </w:rPr>
        <w:t>  </w:t>
      </w:r>
      <w:r w:rsidR="002D4302" w:rsidRPr="00C2548D">
        <w:rPr>
          <w:lang w:val="fr-FR"/>
        </w:rPr>
        <w:t>qu</w:t>
      </w:r>
      <w:r w:rsidR="00C2548D">
        <w:rPr>
          <w:lang w:val="fr-FR"/>
        </w:rPr>
        <w:t>’</w:t>
      </w:r>
      <w:r w:rsidR="002D4302" w:rsidRPr="00C2548D">
        <w:rPr>
          <w:lang w:val="fr-FR"/>
        </w:rPr>
        <w:t>il n</w:t>
      </w:r>
      <w:r w:rsidR="00C2548D">
        <w:rPr>
          <w:lang w:val="fr-FR"/>
        </w:rPr>
        <w:t>’</w:t>
      </w:r>
      <w:r w:rsidR="002D4302" w:rsidRPr="00C2548D">
        <w:rPr>
          <w:lang w:val="fr-FR"/>
        </w:rPr>
        <w:t xml:space="preserve">avait </w:t>
      </w:r>
      <w:r w:rsidR="00886AE2" w:rsidRPr="00C2548D">
        <w:rPr>
          <w:lang w:val="fr-FR"/>
        </w:rPr>
        <w:t xml:space="preserve">alors </w:t>
      </w:r>
      <w:r w:rsidR="002D4302" w:rsidRPr="00C2548D">
        <w:rPr>
          <w:lang w:val="fr-FR"/>
        </w:rPr>
        <w:t xml:space="preserve">pas vu sa fille depuis </w:t>
      </w:r>
      <w:r w:rsidR="00EA02C7" w:rsidRPr="00C2548D">
        <w:rPr>
          <w:lang w:val="fr-FR"/>
        </w:rPr>
        <w:t xml:space="preserve">environ </w:t>
      </w:r>
      <w:r w:rsidR="002D4302" w:rsidRPr="00C2548D">
        <w:rPr>
          <w:lang w:val="fr-FR"/>
        </w:rPr>
        <w:t>quatre ans</w:t>
      </w:r>
      <w:r w:rsidRPr="00C2548D">
        <w:rPr>
          <w:lang w:val="fr-FR"/>
        </w:rPr>
        <w:t> ;</w:t>
      </w:r>
    </w:p>
    <w:p w:rsidR="003442AD" w:rsidRPr="00C2548D" w:rsidRDefault="00E54694" w:rsidP="005E33FC">
      <w:pPr>
        <w:pStyle w:val="ECHRPara"/>
        <w:rPr>
          <w:lang w:val="fr-FR"/>
        </w:rPr>
      </w:pPr>
      <w:r w:rsidRPr="00C2548D">
        <w:rPr>
          <w:lang w:val="fr-FR"/>
        </w:rPr>
        <w:t>–</w:t>
      </w:r>
      <w:r w:rsidR="00ED0C57" w:rsidRPr="00C2548D">
        <w:rPr>
          <w:lang w:val="fr-FR"/>
        </w:rPr>
        <w:t>  </w:t>
      </w:r>
      <w:r w:rsidRPr="00C2548D">
        <w:rPr>
          <w:lang w:val="fr-FR"/>
        </w:rPr>
        <w:t>que les juridictions internes n</w:t>
      </w:r>
      <w:r w:rsidR="00C2548D">
        <w:rPr>
          <w:lang w:val="fr-FR"/>
        </w:rPr>
        <w:t>’</w:t>
      </w:r>
      <w:r w:rsidRPr="00C2548D">
        <w:rPr>
          <w:lang w:val="fr-FR"/>
        </w:rPr>
        <w:t>ont jamais</w:t>
      </w:r>
      <w:r w:rsidR="002D4302" w:rsidRPr="00C2548D">
        <w:rPr>
          <w:lang w:val="fr-FR"/>
        </w:rPr>
        <w:t xml:space="preserve"> œuvr</w:t>
      </w:r>
      <w:r w:rsidR="00FC1911" w:rsidRPr="00C2548D">
        <w:rPr>
          <w:lang w:val="fr-FR"/>
        </w:rPr>
        <w:t>é</w:t>
      </w:r>
      <w:r w:rsidR="002D4302" w:rsidRPr="00C2548D">
        <w:rPr>
          <w:lang w:val="fr-FR"/>
        </w:rPr>
        <w:t xml:space="preserve"> en faveur d</w:t>
      </w:r>
      <w:r w:rsidR="00C2548D">
        <w:rPr>
          <w:lang w:val="fr-FR"/>
        </w:rPr>
        <w:t>’</w:t>
      </w:r>
      <w:r w:rsidR="002D4302" w:rsidRPr="00C2548D">
        <w:rPr>
          <w:lang w:val="fr-FR"/>
        </w:rPr>
        <w:t>un rapprochement père</w:t>
      </w:r>
      <w:r w:rsidR="008C7378" w:rsidRPr="00C2548D">
        <w:rPr>
          <w:lang w:val="fr-FR"/>
        </w:rPr>
        <w:t>-</w:t>
      </w:r>
      <w:r w:rsidR="002D4302" w:rsidRPr="00C2548D">
        <w:rPr>
          <w:lang w:val="fr-FR"/>
        </w:rPr>
        <w:t>fille par le biais d</w:t>
      </w:r>
      <w:r w:rsidR="00C2548D">
        <w:rPr>
          <w:lang w:val="fr-FR"/>
        </w:rPr>
        <w:t>’</w:t>
      </w:r>
      <w:r w:rsidR="002D4302" w:rsidRPr="00C2548D">
        <w:rPr>
          <w:lang w:val="fr-FR"/>
        </w:rPr>
        <w:t xml:space="preserve">un </w:t>
      </w:r>
      <w:r w:rsidR="00FC1911" w:rsidRPr="00C2548D">
        <w:rPr>
          <w:lang w:val="fr-FR"/>
        </w:rPr>
        <w:t>soutien</w:t>
      </w:r>
      <w:r w:rsidR="002D4302" w:rsidRPr="00C2548D">
        <w:rPr>
          <w:lang w:val="fr-FR"/>
        </w:rPr>
        <w:t xml:space="preserve"> </w:t>
      </w:r>
      <w:r w:rsidR="009A0CF1" w:rsidRPr="00C2548D">
        <w:rPr>
          <w:lang w:val="fr-FR"/>
        </w:rPr>
        <w:t>psychologique</w:t>
      </w:r>
      <w:r w:rsidR="002D4302" w:rsidRPr="00C2548D">
        <w:rPr>
          <w:lang w:val="fr-FR"/>
        </w:rPr>
        <w:t xml:space="preserve"> ou d</w:t>
      </w:r>
      <w:r w:rsidR="00C2548D">
        <w:rPr>
          <w:lang w:val="fr-FR"/>
        </w:rPr>
        <w:t>’</w:t>
      </w:r>
      <w:r w:rsidR="002D4302" w:rsidRPr="00C2548D">
        <w:rPr>
          <w:lang w:val="fr-FR"/>
        </w:rPr>
        <w:t xml:space="preserve">une </w:t>
      </w:r>
      <w:r w:rsidR="009A0CF1" w:rsidRPr="00C2548D">
        <w:rPr>
          <w:lang w:val="fr-FR"/>
        </w:rPr>
        <w:t>médiation</w:t>
      </w:r>
      <w:r w:rsidR="002D4302" w:rsidRPr="00C2548D">
        <w:rPr>
          <w:lang w:val="fr-FR"/>
        </w:rPr>
        <w:t xml:space="preserve"> familiale</w:t>
      </w:r>
      <w:r w:rsidRPr="00C2548D">
        <w:rPr>
          <w:lang w:val="fr-FR"/>
        </w:rPr>
        <w:t> ;</w:t>
      </w:r>
    </w:p>
    <w:p w:rsidR="004E5F9D" w:rsidRPr="00C2548D" w:rsidRDefault="004E5F9D" w:rsidP="005E33FC">
      <w:pPr>
        <w:pStyle w:val="ECHRPara"/>
        <w:rPr>
          <w:lang w:val="fr-FR"/>
        </w:rPr>
      </w:pPr>
      <w:r w:rsidRPr="00C2548D">
        <w:rPr>
          <w:lang w:val="fr-FR"/>
        </w:rPr>
        <w:t>–</w:t>
      </w:r>
      <w:r w:rsidR="00ED0C57" w:rsidRPr="00C2548D">
        <w:rPr>
          <w:lang w:val="fr-FR"/>
        </w:rPr>
        <w:t>  </w:t>
      </w:r>
      <w:r w:rsidRPr="00C2548D">
        <w:rPr>
          <w:lang w:val="fr-FR"/>
        </w:rPr>
        <w:t>qu</w:t>
      </w:r>
      <w:r w:rsidR="00C2548D">
        <w:rPr>
          <w:lang w:val="fr-FR"/>
        </w:rPr>
        <w:t>’</w:t>
      </w:r>
      <w:r w:rsidR="00E54694" w:rsidRPr="00C2548D">
        <w:rPr>
          <w:lang w:val="fr-FR"/>
        </w:rPr>
        <w:t>a</w:t>
      </w:r>
      <w:r w:rsidR="00886AE2" w:rsidRPr="00C2548D">
        <w:rPr>
          <w:lang w:val="fr-FR"/>
        </w:rPr>
        <w:t xml:space="preserve">u contraire, </w:t>
      </w:r>
      <w:r w:rsidR="00EA02C7" w:rsidRPr="00C2548D">
        <w:rPr>
          <w:lang w:val="fr-FR"/>
        </w:rPr>
        <w:t xml:space="preserve">elles </w:t>
      </w:r>
      <w:r w:rsidR="00AB541D" w:rsidRPr="00C2548D">
        <w:rPr>
          <w:lang w:val="fr-FR"/>
        </w:rPr>
        <w:t>ont préféré couper leur lien, en faisant d</w:t>
      </w:r>
      <w:r w:rsidR="00C2548D">
        <w:rPr>
          <w:lang w:val="fr-FR"/>
        </w:rPr>
        <w:t>’</w:t>
      </w:r>
      <w:r w:rsidR="00AB541D" w:rsidRPr="00C2548D">
        <w:rPr>
          <w:lang w:val="fr-FR"/>
        </w:rPr>
        <w:t xml:space="preserve">abord </w:t>
      </w:r>
      <w:r w:rsidR="00FC1911" w:rsidRPr="00C2548D">
        <w:rPr>
          <w:lang w:val="fr-FR"/>
        </w:rPr>
        <w:t>référence</w:t>
      </w:r>
      <w:r w:rsidR="00AB541D" w:rsidRPr="00C2548D">
        <w:rPr>
          <w:lang w:val="fr-FR"/>
        </w:rPr>
        <w:t xml:space="preserve"> </w:t>
      </w:r>
      <w:r w:rsidR="00886AE2" w:rsidRPr="00C2548D">
        <w:rPr>
          <w:lang w:val="fr-FR"/>
        </w:rPr>
        <w:t xml:space="preserve">à sa situation économique </w:t>
      </w:r>
      <w:r w:rsidR="00AB541D" w:rsidRPr="00C2548D">
        <w:rPr>
          <w:lang w:val="fr-FR"/>
        </w:rPr>
        <w:t xml:space="preserve">et ensuite </w:t>
      </w:r>
      <w:r w:rsidR="00FC1911" w:rsidRPr="00C2548D">
        <w:rPr>
          <w:lang w:val="fr-FR"/>
        </w:rPr>
        <w:t xml:space="preserve">à </w:t>
      </w:r>
      <w:r w:rsidR="00AB541D" w:rsidRPr="00C2548D">
        <w:rPr>
          <w:lang w:val="fr-FR"/>
        </w:rPr>
        <w:t xml:space="preserve">des </w:t>
      </w:r>
      <w:r w:rsidR="00886AE2" w:rsidRPr="00C2548D">
        <w:rPr>
          <w:lang w:val="fr-FR"/>
        </w:rPr>
        <w:t xml:space="preserve">considérations </w:t>
      </w:r>
      <w:r w:rsidR="00AB541D" w:rsidRPr="00C2548D">
        <w:rPr>
          <w:lang w:val="fr-FR"/>
        </w:rPr>
        <w:t>concernant sa personnalité</w:t>
      </w:r>
      <w:r w:rsidRPr="00C2548D">
        <w:rPr>
          <w:lang w:val="fr-FR"/>
        </w:rPr>
        <w:t> ;</w:t>
      </w:r>
    </w:p>
    <w:p w:rsidR="00FC1911" w:rsidRPr="00C2548D" w:rsidRDefault="00886AE2" w:rsidP="00C63990">
      <w:pPr>
        <w:pStyle w:val="ECHRPara"/>
        <w:rPr>
          <w:lang w:val="fr-FR"/>
        </w:rPr>
      </w:pPr>
      <w:r w:rsidRPr="00C2548D">
        <w:rPr>
          <w:lang w:val="fr-FR"/>
        </w:rPr>
        <w:t xml:space="preserve">Ainsi, </w:t>
      </w:r>
      <w:r w:rsidR="004E5F9D" w:rsidRPr="00C2548D">
        <w:rPr>
          <w:lang w:val="fr-FR"/>
        </w:rPr>
        <w:t>conclut</w:t>
      </w:r>
      <w:r w:rsidR="00F56135" w:rsidRPr="00C2548D">
        <w:rPr>
          <w:lang w:val="fr-FR"/>
        </w:rPr>
        <w:t xml:space="preserve">-il, </w:t>
      </w:r>
      <w:r w:rsidRPr="00C2548D">
        <w:rPr>
          <w:lang w:val="fr-FR"/>
        </w:rPr>
        <w:t>les</w:t>
      </w:r>
      <w:r w:rsidR="009A0CF1" w:rsidRPr="00C2548D">
        <w:rPr>
          <w:lang w:val="fr-FR"/>
        </w:rPr>
        <w:t xml:space="preserve"> autorités</w:t>
      </w:r>
      <w:r w:rsidR="00AB541D" w:rsidRPr="00C2548D">
        <w:rPr>
          <w:lang w:val="fr-FR"/>
        </w:rPr>
        <w:t xml:space="preserve"> </w:t>
      </w:r>
      <w:r w:rsidR="00F56135" w:rsidRPr="00C2548D">
        <w:rPr>
          <w:lang w:val="fr-FR"/>
        </w:rPr>
        <w:t>l</w:t>
      </w:r>
      <w:r w:rsidR="00C2548D">
        <w:rPr>
          <w:lang w:val="fr-FR"/>
        </w:rPr>
        <w:t>’</w:t>
      </w:r>
      <w:r w:rsidR="00F56135" w:rsidRPr="00C2548D">
        <w:rPr>
          <w:lang w:val="fr-FR"/>
        </w:rPr>
        <w:t xml:space="preserve">ont </w:t>
      </w:r>
      <w:r w:rsidR="00AB541D" w:rsidRPr="00C2548D">
        <w:rPr>
          <w:lang w:val="fr-FR"/>
        </w:rPr>
        <w:t>d</w:t>
      </w:r>
      <w:r w:rsidR="00C2548D">
        <w:rPr>
          <w:lang w:val="fr-FR"/>
        </w:rPr>
        <w:t>’</w:t>
      </w:r>
      <w:r w:rsidR="00AB541D" w:rsidRPr="00C2548D">
        <w:rPr>
          <w:lang w:val="fr-FR"/>
        </w:rPr>
        <w:t xml:space="preserve">abord </w:t>
      </w:r>
      <w:r w:rsidR="009A0CF1" w:rsidRPr="00C2548D">
        <w:rPr>
          <w:lang w:val="fr-FR"/>
        </w:rPr>
        <w:t>emprisonné</w:t>
      </w:r>
      <w:r w:rsidR="00AB541D" w:rsidRPr="00C2548D">
        <w:rPr>
          <w:lang w:val="fr-FR"/>
        </w:rPr>
        <w:t xml:space="preserve"> à tort </w:t>
      </w:r>
      <w:r w:rsidRPr="00C2548D">
        <w:rPr>
          <w:lang w:val="fr-FR"/>
        </w:rPr>
        <w:t>puis</w:t>
      </w:r>
      <w:r w:rsidR="00AB541D" w:rsidRPr="00C2548D">
        <w:rPr>
          <w:lang w:val="fr-FR"/>
        </w:rPr>
        <w:t xml:space="preserve"> </w:t>
      </w:r>
      <w:r w:rsidR="00F56135" w:rsidRPr="00C2548D">
        <w:rPr>
          <w:lang w:val="fr-FR"/>
        </w:rPr>
        <w:t>l</w:t>
      </w:r>
      <w:r w:rsidR="00C2548D">
        <w:rPr>
          <w:lang w:val="fr-FR"/>
        </w:rPr>
        <w:t>’</w:t>
      </w:r>
      <w:r w:rsidR="00F56135" w:rsidRPr="00C2548D">
        <w:rPr>
          <w:lang w:val="fr-FR"/>
        </w:rPr>
        <w:t xml:space="preserve">ont </w:t>
      </w:r>
      <w:r w:rsidR="00FC1911" w:rsidRPr="00C2548D">
        <w:rPr>
          <w:lang w:val="fr-FR"/>
        </w:rPr>
        <w:t>empêché</w:t>
      </w:r>
      <w:r w:rsidR="00AB541D" w:rsidRPr="00C2548D">
        <w:rPr>
          <w:lang w:val="fr-FR"/>
        </w:rPr>
        <w:t xml:space="preserve"> de construire un lien avec sa fille.</w:t>
      </w:r>
    </w:p>
    <w:p w:rsidR="00BA4786" w:rsidRPr="00C2548D" w:rsidRDefault="00C2548D" w:rsidP="00BA4786">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52</w:t>
      </w:r>
      <w:r>
        <w:rPr>
          <w:noProof/>
        </w:rPr>
        <w:fldChar w:fldCharType="end"/>
      </w:r>
      <w:r w:rsidR="00FC1911" w:rsidRPr="00C2548D">
        <w:rPr>
          <w:lang w:val="fr-FR"/>
        </w:rPr>
        <w:t>. </w:t>
      </w:r>
      <w:r w:rsidR="004C11C5" w:rsidRPr="00C2548D">
        <w:rPr>
          <w:lang w:val="fr-FR"/>
        </w:rPr>
        <w:t> </w:t>
      </w:r>
      <w:r w:rsidR="004E5F9D" w:rsidRPr="00C2548D">
        <w:rPr>
          <w:lang w:val="fr-FR"/>
        </w:rPr>
        <w:t>Le requérant</w:t>
      </w:r>
      <w:r w:rsidR="00B42ABA" w:rsidRPr="00C2548D">
        <w:rPr>
          <w:lang w:val="fr-FR"/>
        </w:rPr>
        <w:t xml:space="preserve"> </w:t>
      </w:r>
      <w:r w:rsidR="00DC5650" w:rsidRPr="00C2548D">
        <w:rPr>
          <w:lang w:val="fr-FR"/>
        </w:rPr>
        <w:t>déplore qu</w:t>
      </w:r>
      <w:r>
        <w:rPr>
          <w:lang w:val="fr-FR"/>
        </w:rPr>
        <w:t>’</w:t>
      </w:r>
      <w:r w:rsidR="00DC5650" w:rsidRPr="00C2548D">
        <w:rPr>
          <w:lang w:val="fr-FR"/>
        </w:rPr>
        <w:t>aucune action visant à l</w:t>
      </w:r>
      <w:r>
        <w:rPr>
          <w:lang w:val="fr-FR"/>
        </w:rPr>
        <w:t>’</w:t>
      </w:r>
      <w:r w:rsidR="00DC5650" w:rsidRPr="00C2548D">
        <w:rPr>
          <w:lang w:val="fr-FR"/>
        </w:rPr>
        <w:t>aider à exercer son rôle de parent n</w:t>
      </w:r>
      <w:r>
        <w:rPr>
          <w:lang w:val="fr-FR"/>
        </w:rPr>
        <w:t>’</w:t>
      </w:r>
      <w:r w:rsidR="00DC5650" w:rsidRPr="00C2548D">
        <w:rPr>
          <w:lang w:val="fr-FR"/>
        </w:rPr>
        <w:t xml:space="preserve">ait été envisagée. </w:t>
      </w:r>
      <w:r w:rsidR="009E42D4" w:rsidRPr="00C2548D">
        <w:rPr>
          <w:lang w:val="fr-FR"/>
        </w:rPr>
        <w:t xml:space="preserve">Au demeurant, souligne-t-il, </w:t>
      </w:r>
      <w:r w:rsidR="00BA4786" w:rsidRPr="00C2548D">
        <w:rPr>
          <w:lang w:val="fr-FR"/>
        </w:rPr>
        <w:t>ses compétences parentales n</w:t>
      </w:r>
      <w:r>
        <w:rPr>
          <w:lang w:val="fr-FR"/>
        </w:rPr>
        <w:t>’</w:t>
      </w:r>
      <w:r w:rsidR="00BA4786" w:rsidRPr="00C2548D">
        <w:rPr>
          <w:lang w:val="fr-FR"/>
        </w:rPr>
        <w:t>ont</w:t>
      </w:r>
      <w:r w:rsidR="00DC5650" w:rsidRPr="00C2548D">
        <w:rPr>
          <w:lang w:val="fr-FR"/>
        </w:rPr>
        <w:t xml:space="preserve"> </w:t>
      </w:r>
      <w:r w:rsidR="00BA4786" w:rsidRPr="00C2548D">
        <w:rPr>
          <w:lang w:val="fr-FR"/>
        </w:rPr>
        <w:t>jamais été évaluées par un expert.</w:t>
      </w:r>
    </w:p>
    <w:p w:rsidR="00FC1911" w:rsidRPr="00C2548D" w:rsidRDefault="00BA4786" w:rsidP="00FC1911">
      <w:pPr>
        <w:pStyle w:val="ECHRPara"/>
        <w:rPr>
          <w:lang w:val="fr-FR"/>
        </w:rPr>
      </w:pPr>
      <w:r w:rsidRPr="00C2548D">
        <w:rPr>
          <w:lang w:val="fr-FR"/>
        </w:rPr>
        <w:t xml:space="preserve">Il </w:t>
      </w:r>
      <w:r w:rsidR="00B42ABA" w:rsidRPr="00C2548D">
        <w:rPr>
          <w:lang w:val="fr-FR"/>
        </w:rPr>
        <w:t xml:space="preserve">estime </w:t>
      </w:r>
      <w:r w:rsidR="004E5F9D" w:rsidRPr="00C2548D">
        <w:rPr>
          <w:lang w:val="fr-FR"/>
        </w:rPr>
        <w:t>par ailleurs que les faits s</w:t>
      </w:r>
      <w:r w:rsidR="00C2548D">
        <w:rPr>
          <w:lang w:val="fr-FR"/>
        </w:rPr>
        <w:t>’</w:t>
      </w:r>
      <w:r w:rsidR="004E5F9D" w:rsidRPr="00C2548D">
        <w:rPr>
          <w:lang w:val="fr-FR"/>
        </w:rPr>
        <w:t>analysent en une discrimination sur la base</w:t>
      </w:r>
      <w:r w:rsidR="00156A3E" w:rsidRPr="00C2548D">
        <w:rPr>
          <w:lang w:val="fr-FR"/>
        </w:rPr>
        <w:t xml:space="preserve"> de sa situation économique </w:t>
      </w:r>
      <w:r w:rsidRPr="00C2548D">
        <w:rPr>
          <w:lang w:val="fr-FR"/>
        </w:rPr>
        <w:t xml:space="preserve">et de </w:t>
      </w:r>
      <w:r w:rsidR="00156A3E" w:rsidRPr="00C2548D">
        <w:rPr>
          <w:lang w:val="fr-FR"/>
        </w:rPr>
        <w:t>son statut d</w:t>
      </w:r>
      <w:r w:rsidR="00C2548D">
        <w:rPr>
          <w:lang w:val="fr-FR"/>
        </w:rPr>
        <w:t>’</w:t>
      </w:r>
      <w:r w:rsidR="00156A3E" w:rsidRPr="00C2548D">
        <w:rPr>
          <w:lang w:val="fr-FR"/>
        </w:rPr>
        <w:t>étranger.</w:t>
      </w:r>
    </w:p>
    <w:p w:rsidR="00E54694"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53</w:t>
      </w:r>
      <w:r>
        <w:rPr>
          <w:noProof/>
        </w:rPr>
        <w:fldChar w:fldCharType="end"/>
      </w:r>
      <w:r w:rsidR="00E77CB3" w:rsidRPr="00C2548D">
        <w:rPr>
          <w:lang w:val="fr-FR"/>
        </w:rPr>
        <w:t>.  Le Gouvernement</w:t>
      </w:r>
      <w:r w:rsidR="00C26C8D" w:rsidRPr="00C2548D">
        <w:rPr>
          <w:lang w:val="fr-FR"/>
        </w:rPr>
        <w:t>, de son côté,</w:t>
      </w:r>
      <w:r w:rsidR="00E77CB3" w:rsidRPr="00C2548D">
        <w:rPr>
          <w:lang w:val="fr-FR"/>
        </w:rPr>
        <w:t xml:space="preserve"> </w:t>
      </w:r>
      <w:r w:rsidR="00C26C8D" w:rsidRPr="00C2548D">
        <w:rPr>
          <w:lang w:val="fr-FR"/>
        </w:rPr>
        <w:t>explique</w:t>
      </w:r>
      <w:r w:rsidR="00156A3E" w:rsidRPr="00C2548D">
        <w:rPr>
          <w:lang w:val="fr-FR"/>
        </w:rPr>
        <w:t xml:space="preserve"> que depuis </w:t>
      </w:r>
      <w:r w:rsidR="00C26C8D" w:rsidRPr="00C2548D">
        <w:rPr>
          <w:lang w:val="fr-FR"/>
        </w:rPr>
        <w:t>l</w:t>
      </w:r>
      <w:r>
        <w:rPr>
          <w:lang w:val="fr-FR"/>
        </w:rPr>
        <w:t>’</w:t>
      </w:r>
      <w:r w:rsidR="00801719" w:rsidRPr="00C2548D">
        <w:rPr>
          <w:lang w:val="fr-FR"/>
        </w:rPr>
        <w:t>arrivée</w:t>
      </w:r>
      <w:r w:rsidR="00156A3E" w:rsidRPr="00C2548D">
        <w:rPr>
          <w:lang w:val="fr-FR"/>
        </w:rPr>
        <w:t xml:space="preserve"> </w:t>
      </w:r>
      <w:r w:rsidR="00C26C8D" w:rsidRPr="00C2548D">
        <w:rPr>
          <w:lang w:val="fr-FR"/>
        </w:rPr>
        <w:t xml:space="preserve">du requérant et de sa fille </w:t>
      </w:r>
      <w:r w:rsidR="00156A3E" w:rsidRPr="00C2548D">
        <w:rPr>
          <w:lang w:val="fr-FR"/>
        </w:rPr>
        <w:t xml:space="preserve">en </w:t>
      </w:r>
      <w:r w:rsidR="00801719" w:rsidRPr="00C2548D">
        <w:rPr>
          <w:lang w:val="fr-FR"/>
        </w:rPr>
        <w:t>Italie,</w:t>
      </w:r>
      <w:r w:rsidR="00156A3E" w:rsidRPr="00C2548D">
        <w:rPr>
          <w:lang w:val="fr-FR"/>
        </w:rPr>
        <w:t xml:space="preserve"> </w:t>
      </w:r>
      <w:r w:rsidR="007210FF" w:rsidRPr="00C2548D">
        <w:rPr>
          <w:lang w:val="fr-FR"/>
        </w:rPr>
        <w:t>les autorités</w:t>
      </w:r>
      <w:r w:rsidR="00801719" w:rsidRPr="00C2548D">
        <w:rPr>
          <w:lang w:val="fr-FR"/>
        </w:rPr>
        <w:t xml:space="preserve"> ont </w:t>
      </w:r>
      <w:r w:rsidR="008C7378" w:rsidRPr="00C2548D">
        <w:rPr>
          <w:lang w:val="fr-FR"/>
        </w:rPr>
        <w:t>pris les</w:t>
      </w:r>
      <w:r w:rsidR="007210FF" w:rsidRPr="00C2548D">
        <w:rPr>
          <w:lang w:val="fr-FR"/>
        </w:rPr>
        <w:t xml:space="preserve"> mesures </w:t>
      </w:r>
      <w:r w:rsidR="00FC1911" w:rsidRPr="00C2548D">
        <w:rPr>
          <w:lang w:val="fr-FR"/>
        </w:rPr>
        <w:t>nécessaires</w:t>
      </w:r>
      <w:r w:rsidR="007210FF" w:rsidRPr="00C2548D">
        <w:rPr>
          <w:lang w:val="fr-FR"/>
        </w:rPr>
        <w:t xml:space="preserve"> pour </w:t>
      </w:r>
      <w:r w:rsidR="00FC1911" w:rsidRPr="00C2548D">
        <w:rPr>
          <w:lang w:val="fr-FR"/>
        </w:rPr>
        <w:t>protéger</w:t>
      </w:r>
      <w:r w:rsidR="007210FF" w:rsidRPr="00C2548D">
        <w:rPr>
          <w:lang w:val="fr-FR"/>
        </w:rPr>
        <w:t xml:space="preserve"> l</w:t>
      </w:r>
      <w:r>
        <w:rPr>
          <w:lang w:val="fr-FR"/>
        </w:rPr>
        <w:t>’</w:t>
      </w:r>
      <w:r w:rsidR="007210FF" w:rsidRPr="00C2548D">
        <w:rPr>
          <w:lang w:val="fr-FR"/>
        </w:rPr>
        <w:t>enfant.</w:t>
      </w:r>
    </w:p>
    <w:p w:rsidR="00156A3E" w:rsidRPr="00C2548D" w:rsidRDefault="00C26C8D" w:rsidP="00C63990">
      <w:pPr>
        <w:pStyle w:val="ECHRPara"/>
        <w:rPr>
          <w:lang w:val="fr-FR"/>
        </w:rPr>
      </w:pPr>
      <w:r w:rsidRPr="00C2548D">
        <w:rPr>
          <w:lang w:val="fr-FR"/>
        </w:rPr>
        <w:t xml:space="preserve">Ainsi, tous deux </w:t>
      </w:r>
      <w:r w:rsidR="007210FF" w:rsidRPr="00C2548D">
        <w:rPr>
          <w:lang w:val="fr-FR"/>
        </w:rPr>
        <w:t>ont été accueilli</w:t>
      </w:r>
      <w:r w:rsidR="008C7378" w:rsidRPr="00C2548D">
        <w:rPr>
          <w:lang w:val="fr-FR"/>
        </w:rPr>
        <w:t>s</w:t>
      </w:r>
      <w:r w:rsidR="007210FF" w:rsidRPr="00C2548D">
        <w:rPr>
          <w:lang w:val="fr-FR"/>
        </w:rPr>
        <w:t xml:space="preserve"> par la </w:t>
      </w:r>
      <w:r w:rsidR="00FC1911" w:rsidRPr="00C2548D">
        <w:rPr>
          <w:lang w:val="fr-FR"/>
        </w:rPr>
        <w:t>municipalité</w:t>
      </w:r>
      <w:r w:rsidR="007210FF" w:rsidRPr="00C2548D">
        <w:rPr>
          <w:lang w:val="fr-FR"/>
        </w:rPr>
        <w:t xml:space="preserve"> de Trepuzzi et </w:t>
      </w:r>
      <w:r w:rsidRPr="00C2548D">
        <w:rPr>
          <w:lang w:val="fr-FR"/>
        </w:rPr>
        <w:t xml:space="preserve">y </w:t>
      </w:r>
      <w:r w:rsidR="007210FF" w:rsidRPr="00C2548D">
        <w:rPr>
          <w:lang w:val="fr-FR"/>
        </w:rPr>
        <w:t xml:space="preserve">ont été </w:t>
      </w:r>
      <w:r w:rsidR="00FC1911" w:rsidRPr="00C2548D">
        <w:rPr>
          <w:lang w:val="fr-FR"/>
        </w:rPr>
        <w:t>insérés</w:t>
      </w:r>
      <w:r w:rsidR="00E32A30" w:rsidRPr="00C2548D">
        <w:rPr>
          <w:lang w:val="fr-FR"/>
        </w:rPr>
        <w:t xml:space="preserve"> dans un projet pour la protection </w:t>
      </w:r>
      <w:r w:rsidR="007210FF" w:rsidRPr="00C2548D">
        <w:rPr>
          <w:lang w:val="fr-FR"/>
        </w:rPr>
        <w:t>de</w:t>
      </w:r>
      <w:r w:rsidR="00E32A30" w:rsidRPr="00C2548D">
        <w:rPr>
          <w:lang w:val="fr-FR"/>
        </w:rPr>
        <w:t>s</w:t>
      </w:r>
      <w:r w:rsidR="007210FF" w:rsidRPr="00C2548D">
        <w:rPr>
          <w:lang w:val="fr-FR"/>
        </w:rPr>
        <w:t xml:space="preserve"> </w:t>
      </w:r>
      <w:r w:rsidR="00FC1911" w:rsidRPr="00C2548D">
        <w:rPr>
          <w:lang w:val="fr-FR"/>
        </w:rPr>
        <w:t>réfugiés</w:t>
      </w:r>
      <w:r w:rsidR="00DA6DEF" w:rsidRPr="00C2548D">
        <w:rPr>
          <w:lang w:val="fr-FR"/>
        </w:rPr>
        <w:t>.</w:t>
      </w:r>
      <w:r w:rsidR="00E54694" w:rsidRPr="00C2548D">
        <w:rPr>
          <w:lang w:val="fr-FR"/>
        </w:rPr>
        <w:t xml:space="preserve"> </w:t>
      </w:r>
      <w:r w:rsidRPr="00C2548D">
        <w:rPr>
          <w:lang w:val="fr-FR"/>
        </w:rPr>
        <w:t>C</w:t>
      </w:r>
      <w:r w:rsidR="00C2548D">
        <w:rPr>
          <w:lang w:val="fr-FR"/>
        </w:rPr>
        <w:t>’</w:t>
      </w:r>
      <w:r w:rsidRPr="00C2548D">
        <w:rPr>
          <w:lang w:val="fr-FR"/>
        </w:rPr>
        <w:t>est s</w:t>
      </w:r>
      <w:r w:rsidR="007210FF" w:rsidRPr="00C2548D">
        <w:rPr>
          <w:lang w:val="fr-FR"/>
        </w:rPr>
        <w:t>eulement en avril 2009, quand le requérant a été arrêté</w:t>
      </w:r>
      <w:r w:rsidR="00E32A30" w:rsidRPr="00C2548D">
        <w:rPr>
          <w:lang w:val="fr-FR"/>
        </w:rPr>
        <w:t>,</w:t>
      </w:r>
      <w:r w:rsidR="007210FF" w:rsidRPr="00C2548D">
        <w:rPr>
          <w:lang w:val="fr-FR"/>
        </w:rPr>
        <w:t xml:space="preserve"> </w:t>
      </w:r>
      <w:r w:rsidRPr="00C2548D">
        <w:rPr>
          <w:lang w:val="fr-FR"/>
        </w:rPr>
        <w:t xml:space="preserve">que </w:t>
      </w:r>
      <w:r w:rsidR="007210FF" w:rsidRPr="00C2548D">
        <w:rPr>
          <w:lang w:val="fr-FR"/>
        </w:rPr>
        <w:t>l</w:t>
      </w:r>
      <w:r w:rsidR="00C2548D">
        <w:rPr>
          <w:lang w:val="fr-FR"/>
        </w:rPr>
        <w:t>’</w:t>
      </w:r>
      <w:r w:rsidR="007210FF" w:rsidRPr="00C2548D">
        <w:rPr>
          <w:lang w:val="fr-FR"/>
        </w:rPr>
        <w:t>enfant a été placé</w:t>
      </w:r>
      <w:r w:rsidRPr="00C2548D">
        <w:rPr>
          <w:lang w:val="fr-FR"/>
        </w:rPr>
        <w:t>e</w:t>
      </w:r>
      <w:r w:rsidR="007210FF" w:rsidRPr="00C2548D">
        <w:rPr>
          <w:lang w:val="fr-FR"/>
        </w:rPr>
        <w:t xml:space="preserve"> </w:t>
      </w:r>
      <w:r w:rsidR="00FC1911" w:rsidRPr="00C2548D">
        <w:rPr>
          <w:lang w:val="fr-FR"/>
        </w:rPr>
        <w:t xml:space="preserve">dans un </w:t>
      </w:r>
      <w:r w:rsidR="007210FF" w:rsidRPr="00C2548D">
        <w:rPr>
          <w:lang w:val="fr-FR"/>
        </w:rPr>
        <w:t xml:space="preserve">institut </w:t>
      </w:r>
      <w:r w:rsidR="00344616" w:rsidRPr="00C2548D">
        <w:rPr>
          <w:lang w:val="fr-FR"/>
        </w:rPr>
        <w:t>avant d</w:t>
      </w:r>
      <w:r w:rsidR="00C2548D">
        <w:rPr>
          <w:lang w:val="fr-FR"/>
        </w:rPr>
        <w:t>’</w:t>
      </w:r>
      <w:r w:rsidR="00344616" w:rsidRPr="00C2548D">
        <w:rPr>
          <w:lang w:val="fr-FR"/>
        </w:rPr>
        <w:t>être</w:t>
      </w:r>
      <w:r w:rsidR="00801719" w:rsidRPr="00C2548D">
        <w:rPr>
          <w:lang w:val="fr-FR"/>
        </w:rPr>
        <w:t>,</w:t>
      </w:r>
      <w:r w:rsidR="00E32A30" w:rsidRPr="00C2548D">
        <w:rPr>
          <w:lang w:val="fr-FR"/>
        </w:rPr>
        <w:t xml:space="preserve"> </w:t>
      </w:r>
      <w:r w:rsidR="007210FF" w:rsidRPr="00C2548D">
        <w:rPr>
          <w:lang w:val="fr-FR"/>
        </w:rPr>
        <w:t>en janvier 2010</w:t>
      </w:r>
      <w:r w:rsidR="00801719" w:rsidRPr="00C2548D">
        <w:rPr>
          <w:lang w:val="fr-FR"/>
        </w:rPr>
        <w:t>,</w:t>
      </w:r>
      <w:r w:rsidR="007210FF" w:rsidRPr="00C2548D">
        <w:rPr>
          <w:lang w:val="fr-FR"/>
        </w:rPr>
        <w:t xml:space="preserve"> </w:t>
      </w:r>
      <w:r w:rsidR="00344616" w:rsidRPr="00C2548D">
        <w:rPr>
          <w:lang w:val="fr-FR"/>
        </w:rPr>
        <w:t xml:space="preserve">placée </w:t>
      </w:r>
      <w:r w:rsidR="007210FF" w:rsidRPr="00C2548D">
        <w:rPr>
          <w:lang w:val="fr-FR"/>
        </w:rPr>
        <w:t>dans une famille d</w:t>
      </w:r>
      <w:r w:rsidR="00C2548D">
        <w:rPr>
          <w:lang w:val="fr-FR"/>
        </w:rPr>
        <w:t>’</w:t>
      </w:r>
      <w:r w:rsidR="007210FF" w:rsidRPr="00C2548D">
        <w:rPr>
          <w:lang w:val="fr-FR"/>
        </w:rPr>
        <w:t>accueil. L</w:t>
      </w:r>
      <w:r w:rsidR="00C2548D">
        <w:rPr>
          <w:lang w:val="fr-FR"/>
        </w:rPr>
        <w:t>’</w:t>
      </w:r>
      <w:r w:rsidR="007210FF" w:rsidRPr="00C2548D">
        <w:rPr>
          <w:lang w:val="fr-FR"/>
        </w:rPr>
        <w:t>enfant a pu voir le requérant une seule fois</w:t>
      </w:r>
      <w:r w:rsidR="00344616" w:rsidRPr="00C2548D">
        <w:rPr>
          <w:lang w:val="fr-FR"/>
        </w:rPr>
        <w:t>,</w:t>
      </w:r>
      <w:r w:rsidR="007210FF" w:rsidRPr="00C2548D">
        <w:rPr>
          <w:lang w:val="fr-FR"/>
        </w:rPr>
        <w:t xml:space="preserve"> en </w:t>
      </w:r>
      <w:r w:rsidR="00FC1911" w:rsidRPr="00C2548D">
        <w:rPr>
          <w:lang w:val="fr-FR"/>
        </w:rPr>
        <w:t>juillet 2012.</w:t>
      </w:r>
    </w:p>
    <w:p w:rsidR="003442AD"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54</w:t>
      </w:r>
      <w:r>
        <w:rPr>
          <w:noProof/>
        </w:rPr>
        <w:fldChar w:fldCharType="end"/>
      </w:r>
      <w:r w:rsidR="007210FF" w:rsidRPr="00C2548D">
        <w:rPr>
          <w:lang w:val="fr-FR"/>
        </w:rPr>
        <w:t>.  </w:t>
      </w:r>
      <w:r w:rsidR="00344616" w:rsidRPr="00C2548D">
        <w:rPr>
          <w:lang w:val="fr-FR"/>
        </w:rPr>
        <w:t xml:space="preserve">Durant </w:t>
      </w:r>
      <w:r w:rsidR="007210FF" w:rsidRPr="00C2548D">
        <w:rPr>
          <w:lang w:val="fr-FR"/>
        </w:rPr>
        <w:t xml:space="preserve">la </w:t>
      </w:r>
      <w:r w:rsidR="00FC1911" w:rsidRPr="00C2548D">
        <w:rPr>
          <w:lang w:val="fr-FR"/>
        </w:rPr>
        <w:t>période</w:t>
      </w:r>
      <w:r w:rsidR="007210FF" w:rsidRPr="00C2548D">
        <w:rPr>
          <w:lang w:val="fr-FR"/>
        </w:rPr>
        <w:t xml:space="preserve"> </w:t>
      </w:r>
      <w:r w:rsidR="00344616" w:rsidRPr="00C2548D">
        <w:rPr>
          <w:lang w:val="fr-FR"/>
        </w:rPr>
        <w:t xml:space="preserve">antérieure </w:t>
      </w:r>
      <w:r w:rsidR="007210FF" w:rsidRPr="00C2548D">
        <w:rPr>
          <w:lang w:val="fr-FR"/>
        </w:rPr>
        <w:t>à l</w:t>
      </w:r>
      <w:r>
        <w:rPr>
          <w:lang w:val="fr-FR"/>
        </w:rPr>
        <w:t>’</w:t>
      </w:r>
      <w:r w:rsidR="007210FF" w:rsidRPr="00C2548D">
        <w:rPr>
          <w:lang w:val="fr-FR"/>
        </w:rPr>
        <w:t>arrestation du requérant, la relation entre c</w:t>
      </w:r>
      <w:r w:rsidR="00FC1911" w:rsidRPr="00C2548D">
        <w:rPr>
          <w:lang w:val="fr-FR"/>
        </w:rPr>
        <w:t>e</w:t>
      </w:r>
      <w:r w:rsidR="007210FF" w:rsidRPr="00C2548D">
        <w:rPr>
          <w:lang w:val="fr-FR"/>
        </w:rPr>
        <w:t xml:space="preserve"> </w:t>
      </w:r>
      <w:r w:rsidR="00FC1911" w:rsidRPr="00C2548D">
        <w:rPr>
          <w:lang w:val="fr-FR"/>
        </w:rPr>
        <w:t>dernier</w:t>
      </w:r>
      <w:r w:rsidR="007210FF" w:rsidRPr="00C2548D">
        <w:rPr>
          <w:lang w:val="fr-FR"/>
        </w:rPr>
        <w:t xml:space="preserve"> et l</w:t>
      </w:r>
      <w:r>
        <w:rPr>
          <w:lang w:val="fr-FR"/>
        </w:rPr>
        <w:t>’</w:t>
      </w:r>
      <w:r w:rsidR="007210FF" w:rsidRPr="00C2548D">
        <w:rPr>
          <w:lang w:val="fr-FR"/>
        </w:rPr>
        <w:t xml:space="preserve">enfant a été </w:t>
      </w:r>
      <w:r w:rsidR="00FC1911" w:rsidRPr="00C2548D">
        <w:rPr>
          <w:lang w:val="fr-FR"/>
        </w:rPr>
        <w:t>surveillée</w:t>
      </w:r>
      <w:r w:rsidR="007210FF" w:rsidRPr="00C2548D">
        <w:rPr>
          <w:lang w:val="fr-FR"/>
        </w:rPr>
        <w:t xml:space="preserve"> par les </w:t>
      </w:r>
      <w:r w:rsidR="00FC1911" w:rsidRPr="00C2548D">
        <w:rPr>
          <w:lang w:val="fr-FR"/>
        </w:rPr>
        <w:t>responsables du projet</w:t>
      </w:r>
      <w:r w:rsidR="00344616" w:rsidRPr="00C2548D">
        <w:rPr>
          <w:lang w:val="fr-FR"/>
        </w:rPr>
        <w:t> : s</w:t>
      </w:r>
      <w:r w:rsidR="00FC1911" w:rsidRPr="00C2548D">
        <w:rPr>
          <w:lang w:val="fr-FR"/>
        </w:rPr>
        <w:t xml:space="preserve">elon </w:t>
      </w:r>
      <w:r w:rsidR="005E33FC" w:rsidRPr="00C2548D">
        <w:rPr>
          <w:lang w:val="fr-FR"/>
        </w:rPr>
        <w:t>ces derniers</w:t>
      </w:r>
      <w:r w:rsidR="00801719" w:rsidRPr="00C2548D">
        <w:rPr>
          <w:lang w:val="fr-FR"/>
        </w:rPr>
        <w:t>,</w:t>
      </w:r>
      <w:r w:rsidR="00FC1911" w:rsidRPr="00C2548D">
        <w:rPr>
          <w:lang w:val="fr-FR"/>
        </w:rPr>
        <w:t xml:space="preserve"> il n</w:t>
      </w:r>
      <w:r>
        <w:rPr>
          <w:lang w:val="fr-FR"/>
        </w:rPr>
        <w:t>’</w:t>
      </w:r>
      <w:r w:rsidR="007210FF" w:rsidRPr="00C2548D">
        <w:rPr>
          <w:lang w:val="fr-FR"/>
        </w:rPr>
        <w:t>y</w:t>
      </w:r>
      <w:r w:rsidR="00FC1911" w:rsidRPr="00C2548D">
        <w:rPr>
          <w:lang w:val="fr-FR"/>
        </w:rPr>
        <w:t xml:space="preserve"> </w:t>
      </w:r>
      <w:r w:rsidR="007210FF" w:rsidRPr="00C2548D">
        <w:rPr>
          <w:lang w:val="fr-FR"/>
        </w:rPr>
        <w:t xml:space="preserve">avait pas </w:t>
      </w:r>
      <w:r w:rsidR="00FC1911" w:rsidRPr="00C2548D">
        <w:rPr>
          <w:lang w:val="fr-FR"/>
        </w:rPr>
        <w:t>un lien fort</w:t>
      </w:r>
      <w:r w:rsidR="007210FF" w:rsidRPr="00C2548D">
        <w:rPr>
          <w:lang w:val="fr-FR"/>
        </w:rPr>
        <w:t xml:space="preserve"> entre l</w:t>
      </w:r>
      <w:r>
        <w:rPr>
          <w:lang w:val="fr-FR"/>
        </w:rPr>
        <w:t>’</w:t>
      </w:r>
      <w:r w:rsidR="007210FF" w:rsidRPr="00C2548D">
        <w:rPr>
          <w:lang w:val="fr-FR"/>
        </w:rPr>
        <w:t>enfant et le requérant.</w:t>
      </w:r>
    </w:p>
    <w:p w:rsidR="003442AD" w:rsidRPr="00C2548D" w:rsidRDefault="005E33FC" w:rsidP="00E54694">
      <w:pPr>
        <w:pStyle w:val="ECHRPara"/>
        <w:rPr>
          <w:lang w:val="fr-FR"/>
        </w:rPr>
      </w:pPr>
      <w:r w:rsidRPr="00C2548D">
        <w:rPr>
          <w:lang w:val="fr-FR"/>
        </w:rPr>
        <w:t>Pour</w:t>
      </w:r>
      <w:r w:rsidR="00026CF3" w:rsidRPr="00C2548D">
        <w:rPr>
          <w:lang w:val="fr-FR"/>
        </w:rPr>
        <w:t xml:space="preserve"> </w:t>
      </w:r>
      <w:r w:rsidR="008E3424" w:rsidRPr="00C2548D">
        <w:rPr>
          <w:lang w:val="fr-FR"/>
        </w:rPr>
        <w:t>le Gouvernement</w:t>
      </w:r>
      <w:r w:rsidR="00801719" w:rsidRPr="00C2548D">
        <w:rPr>
          <w:lang w:val="fr-FR"/>
        </w:rPr>
        <w:t>,</w:t>
      </w:r>
      <w:r w:rsidR="008E3424" w:rsidRPr="00C2548D">
        <w:rPr>
          <w:lang w:val="fr-FR"/>
        </w:rPr>
        <w:t xml:space="preserve"> tous les efforts faits par les</w:t>
      </w:r>
      <w:r w:rsidR="009A0CF1" w:rsidRPr="00C2548D">
        <w:rPr>
          <w:lang w:val="fr-FR"/>
        </w:rPr>
        <w:t xml:space="preserve"> services </w:t>
      </w:r>
      <w:r w:rsidR="00FC1911" w:rsidRPr="00C2548D">
        <w:rPr>
          <w:lang w:val="fr-FR"/>
        </w:rPr>
        <w:t>sociaux</w:t>
      </w:r>
      <w:r w:rsidR="009A0CF1" w:rsidRPr="00C2548D">
        <w:rPr>
          <w:lang w:val="fr-FR"/>
        </w:rPr>
        <w:t xml:space="preserve"> </w:t>
      </w:r>
      <w:r w:rsidR="00FC1911" w:rsidRPr="00C2548D">
        <w:rPr>
          <w:lang w:val="fr-FR"/>
        </w:rPr>
        <w:t>étaient</w:t>
      </w:r>
      <w:r w:rsidR="009A0CF1" w:rsidRPr="00C2548D">
        <w:rPr>
          <w:lang w:val="fr-FR"/>
        </w:rPr>
        <w:t xml:space="preserve"> vains</w:t>
      </w:r>
      <w:r w:rsidR="00284260" w:rsidRPr="00C2548D">
        <w:rPr>
          <w:lang w:val="fr-FR"/>
        </w:rPr>
        <w:t>,</w:t>
      </w:r>
      <w:r w:rsidR="009A0CF1" w:rsidRPr="00C2548D">
        <w:rPr>
          <w:lang w:val="fr-FR"/>
        </w:rPr>
        <w:t xml:space="preserve"> car le requérant</w:t>
      </w:r>
      <w:r w:rsidR="008C7378" w:rsidRPr="00C2548D">
        <w:rPr>
          <w:lang w:val="fr-FR"/>
        </w:rPr>
        <w:t xml:space="preserve"> n</w:t>
      </w:r>
      <w:r w:rsidR="00C2548D">
        <w:rPr>
          <w:lang w:val="fr-FR"/>
        </w:rPr>
        <w:t>’</w:t>
      </w:r>
      <w:r w:rsidR="008C7378" w:rsidRPr="00C2548D">
        <w:rPr>
          <w:lang w:val="fr-FR"/>
        </w:rPr>
        <w:t>était pas coopératif</w:t>
      </w:r>
      <w:r w:rsidR="00801719" w:rsidRPr="00C2548D">
        <w:rPr>
          <w:lang w:val="fr-FR"/>
        </w:rPr>
        <w:t>.</w:t>
      </w:r>
      <w:r w:rsidR="00E54694" w:rsidRPr="00C2548D">
        <w:rPr>
          <w:lang w:val="fr-FR"/>
        </w:rPr>
        <w:t xml:space="preserve"> Selon lui,</w:t>
      </w:r>
      <w:r w:rsidR="00344616" w:rsidRPr="00C2548D">
        <w:rPr>
          <w:lang w:val="fr-FR"/>
        </w:rPr>
        <w:t xml:space="preserve"> </w:t>
      </w:r>
      <w:r w:rsidR="008C7378" w:rsidRPr="00C2548D">
        <w:rPr>
          <w:lang w:val="fr-FR"/>
        </w:rPr>
        <w:t xml:space="preserve">ce qui </w:t>
      </w:r>
      <w:r w:rsidR="00740792" w:rsidRPr="00C2548D">
        <w:rPr>
          <w:lang w:val="fr-FR"/>
        </w:rPr>
        <w:t xml:space="preserve">intéressait </w:t>
      </w:r>
      <w:r w:rsidR="009A0CF1" w:rsidRPr="00C2548D">
        <w:rPr>
          <w:lang w:val="fr-FR"/>
        </w:rPr>
        <w:t>le requérant était</w:t>
      </w:r>
      <w:r w:rsidR="00801719" w:rsidRPr="00C2548D">
        <w:rPr>
          <w:lang w:val="fr-FR"/>
        </w:rPr>
        <w:t xml:space="preserve"> surtout </w:t>
      </w:r>
      <w:r w:rsidR="00740792" w:rsidRPr="00C2548D">
        <w:rPr>
          <w:lang w:val="fr-FR"/>
        </w:rPr>
        <w:t>d</w:t>
      </w:r>
      <w:r w:rsidR="00C2548D">
        <w:rPr>
          <w:lang w:val="fr-FR"/>
        </w:rPr>
        <w:t>’</w:t>
      </w:r>
      <w:r w:rsidR="0089377A" w:rsidRPr="00C2548D">
        <w:rPr>
          <w:lang w:val="fr-FR"/>
        </w:rPr>
        <w:t xml:space="preserve">obtenir un permis de </w:t>
      </w:r>
      <w:r w:rsidR="00FC1911" w:rsidRPr="00C2548D">
        <w:rPr>
          <w:lang w:val="fr-FR"/>
        </w:rPr>
        <w:t>séjour</w:t>
      </w:r>
      <w:r w:rsidR="0089377A" w:rsidRPr="00C2548D">
        <w:rPr>
          <w:lang w:val="fr-FR"/>
        </w:rPr>
        <w:t xml:space="preserve"> et une aide matérielle.</w:t>
      </w:r>
    </w:p>
    <w:p w:rsidR="002154AF"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55</w:t>
      </w:r>
      <w:r>
        <w:rPr>
          <w:noProof/>
        </w:rPr>
        <w:fldChar w:fldCharType="end"/>
      </w:r>
      <w:r w:rsidR="00FC1911" w:rsidRPr="00C2548D">
        <w:rPr>
          <w:lang w:val="fr-FR"/>
        </w:rPr>
        <w:t xml:space="preserve">.  Le Gouvernement </w:t>
      </w:r>
      <w:r w:rsidR="00BA4786" w:rsidRPr="00C2548D">
        <w:rPr>
          <w:lang w:val="fr-FR"/>
        </w:rPr>
        <w:t>explique</w:t>
      </w:r>
      <w:r w:rsidR="002154AF" w:rsidRPr="00C2548D">
        <w:rPr>
          <w:lang w:val="fr-FR"/>
        </w:rPr>
        <w:t xml:space="preserve"> également :</w:t>
      </w:r>
    </w:p>
    <w:p w:rsidR="002154AF" w:rsidRPr="00C2548D" w:rsidRDefault="002154AF" w:rsidP="00C63990">
      <w:pPr>
        <w:pStyle w:val="ECHRPara"/>
        <w:rPr>
          <w:lang w:val="fr-FR"/>
        </w:rPr>
      </w:pPr>
      <w:r w:rsidRPr="00C2548D">
        <w:rPr>
          <w:lang w:val="fr-FR"/>
        </w:rPr>
        <w:t>–</w:t>
      </w:r>
      <w:r w:rsidR="00ED0C57" w:rsidRPr="00C2548D">
        <w:rPr>
          <w:lang w:val="fr-FR"/>
        </w:rPr>
        <w:t>  </w:t>
      </w:r>
      <w:r w:rsidR="00FC1911" w:rsidRPr="00C2548D">
        <w:rPr>
          <w:lang w:val="fr-FR"/>
        </w:rPr>
        <w:t>qu</w:t>
      </w:r>
      <w:r w:rsidR="00C2548D">
        <w:rPr>
          <w:lang w:val="fr-FR"/>
        </w:rPr>
        <w:t>’</w:t>
      </w:r>
      <w:r w:rsidR="00FC1911" w:rsidRPr="00C2548D">
        <w:rPr>
          <w:lang w:val="fr-FR"/>
        </w:rPr>
        <w:t>u</w:t>
      </w:r>
      <w:r w:rsidR="0089377A" w:rsidRPr="00C2548D">
        <w:rPr>
          <w:lang w:val="fr-FR"/>
        </w:rPr>
        <w:t>ne fois acquitté et libéré</w:t>
      </w:r>
      <w:r w:rsidR="00026CF3" w:rsidRPr="00C2548D">
        <w:rPr>
          <w:lang w:val="fr-FR"/>
        </w:rPr>
        <w:t>,</w:t>
      </w:r>
      <w:r w:rsidR="0089377A" w:rsidRPr="00C2548D">
        <w:rPr>
          <w:lang w:val="fr-FR"/>
        </w:rPr>
        <w:t xml:space="preserve"> le requérant </w:t>
      </w:r>
      <w:r w:rsidR="00344616" w:rsidRPr="00C2548D">
        <w:rPr>
          <w:lang w:val="fr-FR"/>
        </w:rPr>
        <w:t xml:space="preserve">a certes </w:t>
      </w:r>
      <w:r w:rsidR="0089377A" w:rsidRPr="00C2548D">
        <w:rPr>
          <w:lang w:val="fr-FR"/>
        </w:rPr>
        <w:t>demand</w:t>
      </w:r>
      <w:r w:rsidR="00344616" w:rsidRPr="00C2548D">
        <w:rPr>
          <w:lang w:val="fr-FR"/>
        </w:rPr>
        <w:t>é à</w:t>
      </w:r>
      <w:r w:rsidR="0089377A" w:rsidRPr="00C2548D">
        <w:rPr>
          <w:lang w:val="fr-FR"/>
        </w:rPr>
        <w:t xml:space="preserve"> renouer des liens avec </w:t>
      </w:r>
      <w:r w:rsidR="00344616" w:rsidRPr="00C2548D">
        <w:rPr>
          <w:lang w:val="fr-FR"/>
        </w:rPr>
        <w:t>l</w:t>
      </w:r>
      <w:r w:rsidR="00C2548D">
        <w:rPr>
          <w:lang w:val="fr-FR"/>
        </w:rPr>
        <w:t>’</w:t>
      </w:r>
      <w:r w:rsidR="0089377A" w:rsidRPr="00C2548D">
        <w:rPr>
          <w:lang w:val="fr-FR"/>
        </w:rPr>
        <w:t>enfant</w:t>
      </w:r>
      <w:r w:rsidR="00026CF3" w:rsidRPr="00C2548D">
        <w:rPr>
          <w:lang w:val="fr-FR"/>
        </w:rPr>
        <w:t>,</w:t>
      </w:r>
      <w:r w:rsidR="0089377A" w:rsidRPr="00C2548D">
        <w:rPr>
          <w:lang w:val="fr-FR"/>
        </w:rPr>
        <w:t xml:space="preserve"> </w:t>
      </w:r>
      <w:r w:rsidR="00344616" w:rsidRPr="00C2548D">
        <w:rPr>
          <w:lang w:val="fr-FR"/>
        </w:rPr>
        <w:t>mais n</w:t>
      </w:r>
      <w:r w:rsidR="00C2548D">
        <w:rPr>
          <w:lang w:val="fr-FR"/>
        </w:rPr>
        <w:t>’</w:t>
      </w:r>
      <w:r w:rsidR="00344616" w:rsidRPr="00C2548D">
        <w:rPr>
          <w:lang w:val="fr-FR"/>
        </w:rPr>
        <w:t>a jamais donné</w:t>
      </w:r>
      <w:r w:rsidR="0089377A" w:rsidRPr="00C2548D">
        <w:rPr>
          <w:lang w:val="fr-FR"/>
        </w:rPr>
        <w:t xml:space="preserve"> les </w:t>
      </w:r>
      <w:r w:rsidR="00FC1911" w:rsidRPr="00C2548D">
        <w:rPr>
          <w:lang w:val="fr-FR"/>
        </w:rPr>
        <w:t>renseignements</w:t>
      </w:r>
      <w:r w:rsidR="0089377A" w:rsidRPr="00C2548D">
        <w:rPr>
          <w:lang w:val="fr-FR"/>
        </w:rPr>
        <w:t xml:space="preserve"> </w:t>
      </w:r>
      <w:r w:rsidR="00FC1911" w:rsidRPr="00C2548D">
        <w:rPr>
          <w:lang w:val="fr-FR"/>
        </w:rPr>
        <w:t>nécessaires</w:t>
      </w:r>
      <w:r w:rsidR="0089377A" w:rsidRPr="00C2548D">
        <w:rPr>
          <w:lang w:val="fr-FR"/>
        </w:rPr>
        <w:t xml:space="preserve"> </w:t>
      </w:r>
      <w:r w:rsidR="00FC1911" w:rsidRPr="00C2548D">
        <w:rPr>
          <w:lang w:val="fr-FR"/>
        </w:rPr>
        <w:t>sur la manière dont il aura</w:t>
      </w:r>
      <w:r w:rsidR="00801719" w:rsidRPr="00C2548D">
        <w:rPr>
          <w:lang w:val="fr-FR"/>
        </w:rPr>
        <w:t>it</w:t>
      </w:r>
      <w:r w:rsidR="00FC1911" w:rsidRPr="00C2548D">
        <w:rPr>
          <w:lang w:val="fr-FR"/>
        </w:rPr>
        <w:t xml:space="preserve"> pu </w:t>
      </w:r>
      <w:r w:rsidR="00344616" w:rsidRPr="00C2548D">
        <w:rPr>
          <w:lang w:val="fr-FR"/>
        </w:rPr>
        <w:t>s</w:t>
      </w:r>
      <w:r w:rsidR="00C2548D">
        <w:rPr>
          <w:lang w:val="fr-FR"/>
        </w:rPr>
        <w:t>’</w:t>
      </w:r>
      <w:r w:rsidR="00344616" w:rsidRPr="00C2548D">
        <w:rPr>
          <w:lang w:val="fr-FR"/>
        </w:rPr>
        <w:t>en occuper</w:t>
      </w:r>
      <w:r w:rsidRPr="00C2548D">
        <w:rPr>
          <w:lang w:val="fr-FR"/>
        </w:rPr>
        <w:t> ;</w:t>
      </w:r>
    </w:p>
    <w:p w:rsidR="003442AD" w:rsidRPr="00C2548D" w:rsidRDefault="002154AF" w:rsidP="00C63990">
      <w:pPr>
        <w:pStyle w:val="ECHRPara"/>
        <w:rPr>
          <w:lang w:val="fr-FR"/>
        </w:rPr>
      </w:pPr>
      <w:r w:rsidRPr="00C2548D">
        <w:rPr>
          <w:lang w:val="fr-FR"/>
        </w:rPr>
        <w:t>–</w:t>
      </w:r>
      <w:r w:rsidR="00ED0C57" w:rsidRPr="00C2548D">
        <w:rPr>
          <w:lang w:val="fr-FR"/>
        </w:rPr>
        <w:t>  </w:t>
      </w:r>
      <w:r w:rsidR="00FC1911" w:rsidRPr="00C2548D">
        <w:rPr>
          <w:lang w:val="fr-FR"/>
        </w:rPr>
        <w:t>que le requérant</w:t>
      </w:r>
      <w:r w:rsidR="0089377A" w:rsidRPr="00C2548D">
        <w:rPr>
          <w:lang w:val="fr-FR"/>
        </w:rPr>
        <w:t xml:space="preserve"> refusait de prendre en compte que l</w:t>
      </w:r>
      <w:r w:rsidR="00C2548D">
        <w:rPr>
          <w:lang w:val="fr-FR"/>
        </w:rPr>
        <w:t>’</w:t>
      </w:r>
      <w:r w:rsidR="0089377A" w:rsidRPr="00C2548D">
        <w:rPr>
          <w:lang w:val="fr-FR"/>
        </w:rPr>
        <w:t xml:space="preserve">enfant ne voulait </w:t>
      </w:r>
      <w:r w:rsidR="00FC1911" w:rsidRPr="00C2548D">
        <w:rPr>
          <w:lang w:val="fr-FR"/>
        </w:rPr>
        <w:t>pas</w:t>
      </w:r>
      <w:r w:rsidR="0089377A" w:rsidRPr="00C2548D">
        <w:rPr>
          <w:lang w:val="fr-FR"/>
        </w:rPr>
        <w:t xml:space="preserve"> le voir et ne se souvenait pas de lui, et </w:t>
      </w:r>
      <w:r w:rsidR="00026CF3" w:rsidRPr="00C2548D">
        <w:rPr>
          <w:lang w:val="fr-FR"/>
        </w:rPr>
        <w:t xml:space="preserve">a </w:t>
      </w:r>
      <w:r w:rsidR="0089377A" w:rsidRPr="00C2548D">
        <w:rPr>
          <w:lang w:val="fr-FR"/>
        </w:rPr>
        <w:t>donn</w:t>
      </w:r>
      <w:r w:rsidR="00026CF3" w:rsidRPr="00C2548D">
        <w:rPr>
          <w:lang w:val="fr-FR"/>
        </w:rPr>
        <w:t>é</w:t>
      </w:r>
      <w:r w:rsidR="0089377A" w:rsidRPr="00C2548D">
        <w:rPr>
          <w:lang w:val="fr-FR"/>
        </w:rPr>
        <w:t xml:space="preserve"> </w:t>
      </w:r>
      <w:r w:rsidR="00026CF3" w:rsidRPr="00C2548D">
        <w:rPr>
          <w:lang w:val="fr-FR"/>
        </w:rPr>
        <w:t>l</w:t>
      </w:r>
      <w:r w:rsidR="00C2548D">
        <w:rPr>
          <w:lang w:val="fr-FR"/>
        </w:rPr>
        <w:t>’</w:t>
      </w:r>
      <w:r w:rsidR="00026CF3" w:rsidRPr="00C2548D">
        <w:rPr>
          <w:lang w:val="fr-FR"/>
        </w:rPr>
        <w:t>image d</w:t>
      </w:r>
      <w:r w:rsidR="00C2548D">
        <w:rPr>
          <w:lang w:val="fr-FR"/>
        </w:rPr>
        <w:t>’</w:t>
      </w:r>
      <w:r w:rsidR="0089377A" w:rsidRPr="00C2548D">
        <w:rPr>
          <w:lang w:val="fr-FR"/>
        </w:rPr>
        <w:t xml:space="preserve">un </w:t>
      </w:r>
      <w:r w:rsidR="00FC1911" w:rsidRPr="00C2548D">
        <w:rPr>
          <w:lang w:val="fr-FR"/>
        </w:rPr>
        <w:t>père autoritaire (</w:t>
      </w:r>
      <w:r w:rsidR="00FC1911" w:rsidRPr="00C2548D">
        <w:rPr>
          <w:i/>
          <w:lang w:val="fr-FR"/>
        </w:rPr>
        <w:t>padre padrone</w:t>
      </w:r>
      <w:r w:rsidR="00FC0BCD" w:rsidRPr="00C2548D">
        <w:rPr>
          <w:i/>
          <w:lang w:val="fr-FR"/>
        </w:rPr>
        <w:t> </w:t>
      </w:r>
      <w:r w:rsidR="00FC0BCD" w:rsidRPr="00C2548D">
        <w:rPr>
          <w:lang w:val="fr-FR"/>
        </w:rPr>
        <w:t>: « père-patron »</w:t>
      </w:r>
      <w:r w:rsidR="00FC1911" w:rsidRPr="00C2548D">
        <w:rPr>
          <w:lang w:val="fr-FR"/>
        </w:rPr>
        <w:t>)</w:t>
      </w:r>
      <w:r w:rsidR="00026CF3" w:rsidRPr="00C2548D">
        <w:rPr>
          <w:lang w:val="fr-FR"/>
        </w:rPr>
        <w:t>,</w:t>
      </w:r>
      <w:r w:rsidR="0089377A" w:rsidRPr="00C2548D">
        <w:rPr>
          <w:lang w:val="fr-FR"/>
        </w:rPr>
        <w:t xml:space="preserve"> comme </w:t>
      </w:r>
      <w:r w:rsidR="00026CF3" w:rsidRPr="00C2548D">
        <w:rPr>
          <w:lang w:val="fr-FR"/>
        </w:rPr>
        <w:t xml:space="preserve">cela </w:t>
      </w:r>
      <w:r w:rsidR="00FC1911" w:rsidRPr="00C2548D">
        <w:rPr>
          <w:lang w:val="fr-FR"/>
        </w:rPr>
        <w:t xml:space="preserve">a été </w:t>
      </w:r>
      <w:r w:rsidR="0089377A" w:rsidRPr="00C2548D">
        <w:rPr>
          <w:lang w:val="fr-FR"/>
        </w:rPr>
        <w:t>ensuite reconnu par les juridictions internes.</w:t>
      </w:r>
    </w:p>
    <w:p w:rsidR="00026CF3"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56</w:t>
      </w:r>
      <w:r>
        <w:rPr>
          <w:noProof/>
        </w:rPr>
        <w:fldChar w:fldCharType="end"/>
      </w:r>
      <w:r w:rsidR="00FC1911" w:rsidRPr="00C2548D">
        <w:rPr>
          <w:lang w:val="fr-FR"/>
        </w:rPr>
        <w:t>.  </w:t>
      </w:r>
      <w:r w:rsidR="002E02EA" w:rsidRPr="00C2548D">
        <w:rPr>
          <w:lang w:val="fr-FR"/>
        </w:rPr>
        <w:t>De plus, le Gouvernemen</w:t>
      </w:r>
      <w:r w:rsidR="00FC1911" w:rsidRPr="00C2548D">
        <w:rPr>
          <w:lang w:val="fr-FR"/>
        </w:rPr>
        <w:t>t fait valoir</w:t>
      </w:r>
      <w:r w:rsidR="00026CF3" w:rsidRPr="00C2548D">
        <w:rPr>
          <w:lang w:val="fr-FR"/>
        </w:rPr>
        <w:t> :</w:t>
      </w:r>
    </w:p>
    <w:p w:rsidR="00026CF3" w:rsidRPr="00C2548D" w:rsidRDefault="00026CF3" w:rsidP="00C63990">
      <w:pPr>
        <w:pStyle w:val="ECHRPara"/>
        <w:rPr>
          <w:lang w:val="fr-FR"/>
        </w:rPr>
      </w:pPr>
      <w:r w:rsidRPr="00C2548D">
        <w:rPr>
          <w:lang w:val="fr-FR"/>
        </w:rPr>
        <w:t>–</w:t>
      </w:r>
      <w:r w:rsidR="00ED0C57" w:rsidRPr="00C2548D">
        <w:rPr>
          <w:lang w:val="fr-FR"/>
        </w:rPr>
        <w:t>  </w:t>
      </w:r>
      <w:r w:rsidR="00FC1911" w:rsidRPr="00C2548D">
        <w:rPr>
          <w:lang w:val="fr-FR"/>
        </w:rPr>
        <w:t xml:space="preserve">que le requérant a </w:t>
      </w:r>
      <w:r w:rsidR="002E02EA" w:rsidRPr="00C2548D">
        <w:rPr>
          <w:lang w:val="fr-FR"/>
        </w:rPr>
        <w:t>déménag</w:t>
      </w:r>
      <w:r w:rsidR="00C744C1" w:rsidRPr="00C2548D">
        <w:rPr>
          <w:lang w:val="fr-FR"/>
        </w:rPr>
        <w:t xml:space="preserve">é </w:t>
      </w:r>
      <w:r w:rsidR="002E02EA" w:rsidRPr="00C2548D">
        <w:rPr>
          <w:lang w:val="fr-FR"/>
        </w:rPr>
        <w:t>dans un lieu inconnu et que</w:t>
      </w:r>
      <w:r w:rsidR="00801719" w:rsidRPr="00C2548D">
        <w:rPr>
          <w:lang w:val="fr-FR"/>
        </w:rPr>
        <w:t>,</w:t>
      </w:r>
      <w:r w:rsidR="002E02EA" w:rsidRPr="00C2548D">
        <w:rPr>
          <w:lang w:val="fr-FR"/>
        </w:rPr>
        <w:t xml:space="preserve"> pendant plusieurs mois</w:t>
      </w:r>
      <w:r w:rsidR="00801719" w:rsidRPr="00C2548D">
        <w:rPr>
          <w:lang w:val="fr-FR"/>
        </w:rPr>
        <w:t>,</w:t>
      </w:r>
      <w:r w:rsidR="002E02EA" w:rsidRPr="00C2548D">
        <w:rPr>
          <w:lang w:val="fr-FR"/>
        </w:rPr>
        <w:t xml:space="preserve"> il </w:t>
      </w:r>
      <w:r w:rsidR="00801719" w:rsidRPr="00C2548D">
        <w:rPr>
          <w:lang w:val="fr-FR"/>
        </w:rPr>
        <w:t>n</w:t>
      </w:r>
      <w:r w:rsidR="00C2548D">
        <w:rPr>
          <w:lang w:val="fr-FR"/>
        </w:rPr>
        <w:t>’</w:t>
      </w:r>
      <w:r w:rsidR="00C744C1" w:rsidRPr="00C2548D">
        <w:rPr>
          <w:lang w:val="fr-FR"/>
        </w:rPr>
        <w:t>a donné</w:t>
      </w:r>
      <w:r w:rsidR="002E02EA" w:rsidRPr="00C2548D">
        <w:rPr>
          <w:lang w:val="fr-FR"/>
        </w:rPr>
        <w:t xml:space="preserve"> aucune nouvelle et </w:t>
      </w:r>
      <w:r w:rsidR="00DA6DEF" w:rsidRPr="00C2548D">
        <w:rPr>
          <w:lang w:val="fr-FR"/>
        </w:rPr>
        <w:t>n</w:t>
      </w:r>
      <w:r w:rsidR="00C2548D">
        <w:rPr>
          <w:lang w:val="fr-FR"/>
        </w:rPr>
        <w:t>’</w:t>
      </w:r>
      <w:r w:rsidR="00DA6DEF" w:rsidRPr="00C2548D">
        <w:rPr>
          <w:lang w:val="fr-FR"/>
        </w:rPr>
        <w:t>a pas essayé</w:t>
      </w:r>
      <w:r w:rsidR="002E02EA" w:rsidRPr="00C2548D">
        <w:rPr>
          <w:lang w:val="fr-FR"/>
        </w:rPr>
        <w:t xml:space="preserve"> de contacter les services </w:t>
      </w:r>
      <w:r w:rsidR="00C744C1" w:rsidRPr="00C2548D">
        <w:rPr>
          <w:lang w:val="fr-FR"/>
        </w:rPr>
        <w:t>sociaux</w:t>
      </w:r>
      <w:r w:rsidR="002E02EA" w:rsidRPr="00C2548D">
        <w:rPr>
          <w:lang w:val="fr-FR"/>
        </w:rPr>
        <w:t xml:space="preserve"> pour avoir des nouvelles de l</w:t>
      </w:r>
      <w:r w:rsidR="00C2548D">
        <w:rPr>
          <w:lang w:val="fr-FR"/>
        </w:rPr>
        <w:t>’</w:t>
      </w:r>
      <w:r w:rsidR="002E02EA" w:rsidRPr="00C2548D">
        <w:rPr>
          <w:lang w:val="fr-FR"/>
        </w:rPr>
        <w:t>enfant</w:t>
      </w:r>
      <w:r w:rsidRPr="00C2548D">
        <w:rPr>
          <w:lang w:val="fr-FR"/>
        </w:rPr>
        <w:t> ;</w:t>
      </w:r>
    </w:p>
    <w:p w:rsidR="00026CF3" w:rsidRPr="00C2548D" w:rsidRDefault="00026CF3" w:rsidP="00C63990">
      <w:pPr>
        <w:pStyle w:val="ECHRPara"/>
        <w:rPr>
          <w:lang w:val="fr-FR"/>
        </w:rPr>
      </w:pPr>
      <w:r w:rsidRPr="00C2548D">
        <w:rPr>
          <w:lang w:val="fr-FR"/>
        </w:rPr>
        <w:t>–</w:t>
      </w:r>
      <w:r w:rsidR="00ED0C57" w:rsidRPr="00C2548D">
        <w:rPr>
          <w:lang w:val="fr-FR"/>
        </w:rPr>
        <w:t>  </w:t>
      </w:r>
      <w:r w:rsidRPr="00C2548D">
        <w:rPr>
          <w:lang w:val="fr-FR"/>
        </w:rPr>
        <w:t>que c</w:t>
      </w:r>
      <w:r w:rsidR="00C2548D">
        <w:rPr>
          <w:lang w:val="fr-FR"/>
        </w:rPr>
        <w:t>’</w:t>
      </w:r>
      <w:r w:rsidRPr="00C2548D">
        <w:rPr>
          <w:lang w:val="fr-FR"/>
        </w:rPr>
        <w:t>est au vu des rapports des services sociaux depuis 2008, qui indiquaient que le requérant n</w:t>
      </w:r>
      <w:r w:rsidR="00C2548D">
        <w:rPr>
          <w:lang w:val="fr-FR"/>
        </w:rPr>
        <w:t>’</w:t>
      </w:r>
      <w:r w:rsidRPr="00C2548D">
        <w:rPr>
          <w:lang w:val="fr-FR"/>
        </w:rPr>
        <w:t>était pas en mesure d</w:t>
      </w:r>
      <w:r w:rsidR="00C2548D">
        <w:rPr>
          <w:lang w:val="fr-FR"/>
        </w:rPr>
        <w:t>’</w:t>
      </w:r>
      <w:r w:rsidRPr="00C2548D">
        <w:rPr>
          <w:lang w:val="fr-FR"/>
        </w:rPr>
        <w:t>exercer son rôle de père, que l</w:t>
      </w:r>
      <w:r w:rsidR="002E02EA" w:rsidRPr="00C2548D">
        <w:rPr>
          <w:lang w:val="fr-FR"/>
        </w:rPr>
        <w:t xml:space="preserve">a </w:t>
      </w:r>
      <w:r w:rsidR="00C744C1" w:rsidRPr="00C2548D">
        <w:rPr>
          <w:lang w:val="fr-FR"/>
        </w:rPr>
        <w:t>cour</w:t>
      </w:r>
      <w:r w:rsidR="002E02EA" w:rsidRPr="00C2548D">
        <w:rPr>
          <w:lang w:val="fr-FR"/>
        </w:rPr>
        <w:t xml:space="preserve"> d</w:t>
      </w:r>
      <w:r w:rsidR="00C2548D">
        <w:rPr>
          <w:lang w:val="fr-FR"/>
        </w:rPr>
        <w:t>’</w:t>
      </w:r>
      <w:r w:rsidR="002E02EA" w:rsidRPr="00C2548D">
        <w:rPr>
          <w:lang w:val="fr-FR"/>
        </w:rPr>
        <w:t xml:space="preserve">appel de Lecce </w:t>
      </w:r>
      <w:r w:rsidR="00C744C1" w:rsidRPr="00C2548D">
        <w:rPr>
          <w:lang w:val="fr-FR"/>
        </w:rPr>
        <w:t>a refusé d</w:t>
      </w:r>
      <w:r w:rsidR="00C2548D">
        <w:rPr>
          <w:lang w:val="fr-FR"/>
        </w:rPr>
        <w:t>’</w:t>
      </w:r>
      <w:r w:rsidR="00C744C1" w:rsidRPr="00C2548D">
        <w:rPr>
          <w:lang w:val="fr-FR"/>
        </w:rPr>
        <w:t xml:space="preserve">autoriser </w:t>
      </w:r>
      <w:r w:rsidR="002E02EA" w:rsidRPr="00C2548D">
        <w:rPr>
          <w:lang w:val="fr-FR"/>
        </w:rPr>
        <w:t xml:space="preserve">de nouveaux </w:t>
      </w:r>
      <w:r w:rsidR="00C744C1" w:rsidRPr="00C2548D">
        <w:rPr>
          <w:lang w:val="fr-FR"/>
        </w:rPr>
        <w:t>contacts</w:t>
      </w:r>
      <w:r w:rsidR="002E02EA" w:rsidRPr="00C2548D">
        <w:rPr>
          <w:lang w:val="fr-FR"/>
        </w:rPr>
        <w:t xml:space="preserve"> entre le requérant et sa fille</w:t>
      </w:r>
      <w:r w:rsidRPr="00C2548D">
        <w:rPr>
          <w:lang w:val="fr-FR"/>
        </w:rPr>
        <w:t> ;</w:t>
      </w:r>
    </w:p>
    <w:p w:rsidR="00026CF3" w:rsidRPr="00C2548D" w:rsidRDefault="00026CF3" w:rsidP="00026CF3">
      <w:pPr>
        <w:pStyle w:val="ECHRPara"/>
        <w:rPr>
          <w:lang w:val="fr-FR"/>
        </w:rPr>
      </w:pPr>
      <w:r w:rsidRPr="00C2548D">
        <w:rPr>
          <w:lang w:val="fr-FR"/>
        </w:rPr>
        <w:t>–</w:t>
      </w:r>
      <w:r w:rsidR="00ED0C57" w:rsidRPr="00C2548D">
        <w:rPr>
          <w:lang w:val="fr-FR"/>
        </w:rPr>
        <w:t>  </w:t>
      </w:r>
      <w:r w:rsidRPr="00C2548D">
        <w:rPr>
          <w:lang w:val="fr-FR"/>
        </w:rPr>
        <w:t xml:space="preserve">que </w:t>
      </w:r>
      <w:r w:rsidR="00EF5337" w:rsidRPr="00C2548D">
        <w:rPr>
          <w:lang w:val="fr-FR"/>
        </w:rPr>
        <w:t>l</w:t>
      </w:r>
      <w:r w:rsidR="00C2548D">
        <w:rPr>
          <w:lang w:val="fr-FR"/>
        </w:rPr>
        <w:t>’</w:t>
      </w:r>
      <w:r w:rsidR="00EF5337" w:rsidRPr="00C2548D">
        <w:rPr>
          <w:lang w:val="fr-FR"/>
        </w:rPr>
        <w:t>enfant vivait depuis 2010 dans une famille d</w:t>
      </w:r>
      <w:r w:rsidR="00C2548D">
        <w:rPr>
          <w:lang w:val="fr-FR"/>
        </w:rPr>
        <w:t>’</w:t>
      </w:r>
      <w:r w:rsidR="00C744C1" w:rsidRPr="00C2548D">
        <w:rPr>
          <w:lang w:val="fr-FR"/>
        </w:rPr>
        <w:t>accueil</w:t>
      </w:r>
      <w:r w:rsidR="00EF5337" w:rsidRPr="00C2548D">
        <w:rPr>
          <w:lang w:val="fr-FR"/>
        </w:rPr>
        <w:t xml:space="preserve"> dans </w:t>
      </w:r>
      <w:r w:rsidR="00C744C1" w:rsidRPr="00C2548D">
        <w:rPr>
          <w:lang w:val="fr-FR"/>
        </w:rPr>
        <w:t>laquelle</w:t>
      </w:r>
      <w:r w:rsidR="00EF5337" w:rsidRPr="00C2548D">
        <w:rPr>
          <w:lang w:val="fr-FR"/>
        </w:rPr>
        <w:t xml:space="preserve"> </w:t>
      </w:r>
      <w:r w:rsidR="00801719" w:rsidRPr="00C2548D">
        <w:rPr>
          <w:lang w:val="fr-FR"/>
        </w:rPr>
        <w:t xml:space="preserve">elle </w:t>
      </w:r>
      <w:r w:rsidR="00EF5337" w:rsidRPr="00C2548D">
        <w:rPr>
          <w:lang w:val="fr-FR"/>
        </w:rPr>
        <w:t>était bien intégrée.</w:t>
      </w:r>
    </w:p>
    <w:p w:rsidR="007210FF" w:rsidRPr="00C2548D" w:rsidRDefault="00026CF3" w:rsidP="00026CF3">
      <w:pPr>
        <w:pStyle w:val="ECHRPara"/>
        <w:rPr>
          <w:lang w:val="fr-FR"/>
        </w:rPr>
      </w:pPr>
      <w:r w:rsidRPr="00C2548D">
        <w:rPr>
          <w:lang w:val="fr-FR"/>
        </w:rPr>
        <w:t>Pour</w:t>
      </w:r>
      <w:r w:rsidR="00EF5337" w:rsidRPr="00C2548D">
        <w:rPr>
          <w:lang w:val="fr-FR"/>
        </w:rPr>
        <w:t xml:space="preserve"> le Gouvernement, le requérant </w:t>
      </w:r>
      <w:r w:rsidRPr="00C2548D">
        <w:rPr>
          <w:lang w:val="fr-FR"/>
        </w:rPr>
        <w:t>n</w:t>
      </w:r>
      <w:r w:rsidR="00C2548D">
        <w:rPr>
          <w:lang w:val="fr-FR"/>
        </w:rPr>
        <w:t>’</w:t>
      </w:r>
      <w:r w:rsidRPr="00C2548D">
        <w:rPr>
          <w:lang w:val="fr-FR"/>
        </w:rPr>
        <w:t>est</w:t>
      </w:r>
      <w:r w:rsidR="00EF5337" w:rsidRPr="00C2548D">
        <w:rPr>
          <w:lang w:val="fr-FR"/>
        </w:rPr>
        <w:t xml:space="preserve"> pas une victime d</w:t>
      </w:r>
      <w:r w:rsidR="00C2548D">
        <w:rPr>
          <w:lang w:val="fr-FR"/>
        </w:rPr>
        <w:t>’</w:t>
      </w:r>
      <w:r w:rsidR="00EF5337" w:rsidRPr="00C2548D">
        <w:rPr>
          <w:lang w:val="fr-FR"/>
        </w:rPr>
        <w:t>une violation d</w:t>
      </w:r>
      <w:r w:rsidR="00EA02C7" w:rsidRPr="00C2548D">
        <w:rPr>
          <w:lang w:val="fr-FR"/>
        </w:rPr>
        <w:t>e</w:t>
      </w:r>
      <w:r w:rsidR="00EF5337" w:rsidRPr="00C2548D">
        <w:rPr>
          <w:lang w:val="fr-FR"/>
        </w:rPr>
        <w:t xml:space="preserve"> </w:t>
      </w:r>
      <w:r w:rsidR="00C744C1" w:rsidRPr="00C2548D">
        <w:rPr>
          <w:lang w:val="fr-FR"/>
        </w:rPr>
        <w:t>l</w:t>
      </w:r>
      <w:r w:rsidR="00C2548D">
        <w:rPr>
          <w:lang w:val="fr-FR"/>
        </w:rPr>
        <w:t>’</w:t>
      </w:r>
      <w:r w:rsidR="00C744C1" w:rsidRPr="00C2548D">
        <w:rPr>
          <w:lang w:val="fr-FR"/>
        </w:rPr>
        <w:t>article</w:t>
      </w:r>
      <w:r w:rsidR="00EF5337" w:rsidRPr="00C2548D">
        <w:rPr>
          <w:lang w:val="fr-FR"/>
        </w:rPr>
        <w:t xml:space="preserve"> 8</w:t>
      </w:r>
      <w:r w:rsidRPr="00C2548D">
        <w:rPr>
          <w:lang w:val="fr-FR"/>
        </w:rPr>
        <w:t xml:space="preserve">, mais </w:t>
      </w:r>
      <w:r w:rsidR="002154AF" w:rsidRPr="00C2548D">
        <w:rPr>
          <w:lang w:val="fr-FR"/>
        </w:rPr>
        <w:t>se trouve simplement devant</w:t>
      </w:r>
      <w:r w:rsidRPr="00C2548D">
        <w:rPr>
          <w:lang w:val="fr-FR"/>
        </w:rPr>
        <w:t xml:space="preserve"> les conséquences de son propre manque de coopération </w:t>
      </w:r>
      <w:r w:rsidR="00EF5337" w:rsidRPr="00C2548D">
        <w:rPr>
          <w:lang w:val="fr-FR"/>
        </w:rPr>
        <w:t xml:space="preserve">avec les juridictions </w:t>
      </w:r>
      <w:r w:rsidR="002154AF" w:rsidRPr="00C2548D">
        <w:rPr>
          <w:lang w:val="fr-FR"/>
        </w:rPr>
        <w:t>aux fins d</w:t>
      </w:r>
      <w:r w:rsidR="00C2548D">
        <w:rPr>
          <w:lang w:val="fr-FR"/>
        </w:rPr>
        <w:t>’</w:t>
      </w:r>
      <w:r w:rsidR="002154AF" w:rsidRPr="00C2548D">
        <w:rPr>
          <w:lang w:val="fr-FR"/>
        </w:rPr>
        <w:t xml:space="preserve">un </w:t>
      </w:r>
      <w:r w:rsidR="00EF5337" w:rsidRPr="00C2548D">
        <w:rPr>
          <w:lang w:val="fr-FR"/>
        </w:rPr>
        <w:t>rappr</w:t>
      </w:r>
      <w:r w:rsidR="00C744C1" w:rsidRPr="00C2548D">
        <w:rPr>
          <w:lang w:val="fr-FR"/>
        </w:rPr>
        <w:t>ochement entre lui et sa fille.</w:t>
      </w:r>
    </w:p>
    <w:p w:rsidR="00733AD7"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57</w:t>
      </w:r>
      <w:r>
        <w:rPr>
          <w:noProof/>
        </w:rPr>
        <w:fldChar w:fldCharType="end"/>
      </w:r>
      <w:r w:rsidR="00EF5337" w:rsidRPr="00C2548D">
        <w:rPr>
          <w:lang w:val="fr-FR"/>
        </w:rPr>
        <w:t>.  Le Gouvernement conclut que les juridictions internes ont pris leurs décisions dans l</w:t>
      </w:r>
      <w:r>
        <w:rPr>
          <w:lang w:val="fr-FR"/>
        </w:rPr>
        <w:t>’</w:t>
      </w:r>
      <w:r w:rsidR="00C744C1" w:rsidRPr="00C2548D">
        <w:rPr>
          <w:lang w:val="fr-FR"/>
        </w:rPr>
        <w:t>intérêt</w:t>
      </w:r>
      <w:r w:rsidR="00EF5337" w:rsidRPr="00C2548D">
        <w:rPr>
          <w:lang w:val="fr-FR"/>
        </w:rPr>
        <w:t xml:space="preserve"> de l</w:t>
      </w:r>
      <w:r>
        <w:rPr>
          <w:lang w:val="fr-FR"/>
        </w:rPr>
        <w:t>’</w:t>
      </w:r>
      <w:r w:rsidR="00EF5337" w:rsidRPr="00C2548D">
        <w:rPr>
          <w:lang w:val="fr-FR"/>
        </w:rPr>
        <w:t>enfant</w:t>
      </w:r>
      <w:r w:rsidR="00486BE5" w:rsidRPr="00C2548D">
        <w:rPr>
          <w:lang w:val="fr-FR"/>
        </w:rPr>
        <w:t>.</w:t>
      </w:r>
    </w:p>
    <w:p w:rsidR="00EF5337" w:rsidRPr="00C2548D" w:rsidRDefault="00486BE5" w:rsidP="00C63990">
      <w:pPr>
        <w:pStyle w:val="ECHRPara"/>
        <w:rPr>
          <w:lang w:val="fr-FR"/>
        </w:rPr>
      </w:pPr>
      <w:r w:rsidRPr="00C2548D">
        <w:rPr>
          <w:lang w:val="fr-FR"/>
        </w:rPr>
        <w:t>Selon lui, c</w:t>
      </w:r>
      <w:r w:rsidR="00C2548D">
        <w:rPr>
          <w:lang w:val="fr-FR"/>
        </w:rPr>
        <w:t>’</w:t>
      </w:r>
      <w:r w:rsidRPr="00C2548D">
        <w:rPr>
          <w:lang w:val="fr-FR"/>
        </w:rPr>
        <w:t>est à tort que le requérant affirme</w:t>
      </w:r>
      <w:r w:rsidR="00801719" w:rsidRPr="00C2548D">
        <w:rPr>
          <w:lang w:val="fr-FR"/>
        </w:rPr>
        <w:t xml:space="preserve"> </w:t>
      </w:r>
      <w:r w:rsidR="00EA02C7" w:rsidRPr="00C2548D">
        <w:rPr>
          <w:lang w:val="fr-FR"/>
        </w:rPr>
        <w:t>qu</w:t>
      </w:r>
      <w:r w:rsidR="00C2548D">
        <w:rPr>
          <w:lang w:val="fr-FR"/>
        </w:rPr>
        <w:t>’</w:t>
      </w:r>
      <w:r w:rsidR="00EF5337" w:rsidRPr="00C2548D">
        <w:rPr>
          <w:lang w:val="fr-FR"/>
        </w:rPr>
        <w:t xml:space="preserve">il </w:t>
      </w:r>
      <w:r w:rsidR="001F6226" w:rsidRPr="00C2548D">
        <w:rPr>
          <w:lang w:val="fr-FR"/>
        </w:rPr>
        <w:t>n</w:t>
      </w:r>
      <w:r w:rsidR="00C2548D">
        <w:rPr>
          <w:lang w:val="fr-FR"/>
        </w:rPr>
        <w:t>’</w:t>
      </w:r>
      <w:r w:rsidR="001F6226" w:rsidRPr="00C2548D">
        <w:rPr>
          <w:lang w:val="fr-FR"/>
        </w:rPr>
        <w:t>y</w:t>
      </w:r>
      <w:r w:rsidR="00C744C1" w:rsidRPr="00C2548D">
        <w:rPr>
          <w:lang w:val="fr-FR"/>
        </w:rPr>
        <w:t xml:space="preserve"> </w:t>
      </w:r>
      <w:r w:rsidR="00EF5337" w:rsidRPr="00C2548D">
        <w:rPr>
          <w:lang w:val="fr-FR"/>
        </w:rPr>
        <w:t>a pas eu d</w:t>
      </w:r>
      <w:r w:rsidR="00C2548D">
        <w:rPr>
          <w:lang w:val="fr-FR"/>
        </w:rPr>
        <w:t>’</w:t>
      </w:r>
      <w:r w:rsidR="00EF5337" w:rsidRPr="00C2548D">
        <w:rPr>
          <w:lang w:val="fr-FR"/>
        </w:rPr>
        <w:t xml:space="preserve">expertise </w:t>
      </w:r>
      <w:r w:rsidR="00C744C1" w:rsidRPr="00C2548D">
        <w:rPr>
          <w:lang w:val="fr-FR"/>
        </w:rPr>
        <w:t>technique</w:t>
      </w:r>
      <w:r w:rsidR="00EF5337" w:rsidRPr="00C2548D">
        <w:rPr>
          <w:lang w:val="fr-FR"/>
        </w:rPr>
        <w:t xml:space="preserve"> </w:t>
      </w:r>
      <w:r w:rsidRPr="00C2548D">
        <w:rPr>
          <w:lang w:val="fr-FR"/>
        </w:rPr>
        <w:t>au sujet de l</w:t>
      </w:r>
      <w:r w:rsidR="00C2548D">
        <w:rPr>
          <w:lang w:val="fr-FR"/>
        </w:rPr>
        <w:t>’</w:t>
      </w:r>
      <w:r w:rsidRPr="00C2548D">
        <w:rPr>
          <w:lang w:val="fr-FR"/>
        </w:rPr>
        <w:t xml:space="preserve">enfant ou des </w:t>
      </w:r>
      <w:r w:rsidR="00EF5337" w:rsidRPr="00C2548D">
        <w:rPr>
          <w:lang w:val="fr-FR"/>
        </w:rPr>
        <w:t>capacités parentales du requérant</w:t>
      </w:r>
      <w:r w:rsidR="00EE3D77" w:rsidRPr="00C2548D">
        <w:rPr>
          <w:lang w:val="fr-FR"/>
        </w:rPr>
        <w:t>. D</w:t>
      </w:r>
      <w:r w:rsidR="00C2548D">
        <w:rPr>
          <w:lang w:val="fr-FR"/>
        </w:rPr>
        <w:t>’</w:t>
      </w:r>
      <w:r w:rsidRPr="00C2548D">
        <w:rPr>
          <w:lang w:val="fr-FR"/>
        </w:rPr>
        <w:t>une part,</w:t>
      </w:r>
      <w:r w:rsidR="00EE3D77" w:rsidRPr="00C2548D">
        <w:rPr>
          <w:lang w:val="fr-FR"/>
        </w:rPr>
        <w:t xml:space="preserve"> </w:t>
      </w:r>
      <w:r w:rsidR="00EF5337" w:rsidRPr="00C2548D">
        <w:rPr>
          <w:lang w:val="fr-FR"/>
        </w:rPr>
        <w:t>la cour d</w:t>
      </w:r>
      <w:r w:rsidR="00C2548D">
        <w:rPr>
          <w:lang w:val="fr-FR"/>
        </w:rPr>
        <w:t>’</w:t>
      </w:r>
      <w:r w:rsidR="00EF5337" w:rsidRPr="00C2548D">
        <w:rPr>
          <w:lang w:val="fr-FR"/>
        </w:rPr>
        <w:t xml:space="preserve">appel </w:t>
      </w:r>
      <w:r w:rsidR="00EE3D77" w:rsidRPr="00C2548D">
        <w:rPr>
          <w:lang w:val="fr-FR"/>
        </w:rPr>
        <w:t>a fondé sa décision sur</w:t>
      </w:r>
      <w:r w:rsidR="00EF5337" w:rsidRPr="00C2548D">
        <w:rPr>
          <w:lang w:val="fr-FR"/>
        </w:rPr>
        <w:t xml:space="preserve"> les conclusions du </w:t>
      </w:r>
      <w:r w:rsidR="00C744C1" w:rsidRPr="00C2548D">
        <w:rPr>
          <w:lang w:val="fr-FR"/>
        </w:rPr>
        <w:t>contrôle</w:t>
      </w:r>
      <w:r w:rsidR="00EF5337" w:rsidRPr="00C2548D">
        <w:rPr>
          <w:lang w:val="fr-FR"/>
        </w:rPr>
        <w:t xml:space="preserve"> effectué </w:t>
      </w:r>
      <w:r w:rsidR="00C744C1" w:rsidRPr="00C2548D">
        <w:rPr>
          <w:lang w:val="fr-FR"/>
        </w:rPr>
        <w:t>pendant</w:t>
      </w:r>
      <w:r w:rsidR="00EF5337" w:rsidRPr="00C2548D">
        <w:rPr>
          <w:lang w:val="fr-FR"/>
        </w:rPr>
        <w:t xml:space="preserve"> </w:t>
      </w:r>
      <w:r w:rsidR="00C744C1" w:rsidRPr="00C2548D">
        <w:rPr>
          <w:lang w:val="fr-FR"/>
        </w:rPr>
        <w:t>plusieurs</w:t>
      </w:r>
      <w:r w:rsidR="00EF5337" w:rsidRPr="00C2548D">
        <w:rPr>
          <w:lang w:val="fr-FR"/>
        </w:rPr>
        <w:t xml:space="preserve"> années sur l</w:t>
      </w:r>
      <w:r w:rsidR="00C2548D">
        <w:rPr>
          <w:lang w:val="fr-FR"/>
        </w:rPr>
        <w:t>’</w:t>
      </w:r>
      <w:r w:rsidR="00EF5337" w:rsidRPr="00C2548D">
        <w:rPr>
          <w:lang w:val="fr-FR"/>
        </w:rPr>
        <w:t>enfant et le requérant</w:t>
      </w:r>
      <w:r w:rsidR="00EE3D77" w:rsidRPr="00C2548D">
        <w:rPr>
          <w:lang w:val="fr-FR"/>
        </w:rPr>
        <w:t>. D</w:t>
      </w:r>
      <w:r w:rsidR="00C2548D">
        <w:rPr>
          <w:lang w:val="fr-FR"/>
        </w:rPr>
        <w:t>’</w:t>
      </w:r>
      <w:r w:rsidR="00EE3D77" w:rsidRPr="00C2548D">
        <w:rPr>
          <w:lang w:val="fr-FR"/>
        </w:rPr>
        <w:t>autre</w:t>
      </w:r>
      <w:r w:rsidRPr="00C2548D">
        <w:rPr>
          <w:lang w:val="fr-FR"/>
        </w:rPr>
        <w:t xml:space="preserve"> part, </w:t>
      </w:r>
      <w:r w:rsidR="00C744C1" w:rsidRPr="00C2548D">
        <w:rPr>
          <w:lang w:val="fr-FR"/>
        </w:rPr>
        <w:t xml:space="preserve">les juridictions internes ont </w:t>
      </w:r>
      <w:r w:rsidR="00801719" w:rsidRPr="00C2548D">
        <w:rPr>
          <w:lang w:val="fr-FR"/>
        </w:rPr>
        <w:t>dû</w:t>
      </w:r>
      <w:r w:rsidR="00EF5337" w:rsidRPr="00C2548D">
        <w:rPr>
          <w:lang w:val="fr-FR"/>
        </w:rPr>
        <w:t xml:space="preserve"> </w:t>
      </w:r>
      <w:r w:rsidR="00C744C1" w:rsidRPr="00C2548D">
        <w:rPr>
          <w:lang w:val="fr-FR"/>
        </w:rPr>
        <w:t>évaluer</w:t>
      </w:r>
      <w:r w:rsidR="00EF5337" w:rsidRPr="00C2548D">
        <w:rPr>
          <w:lang w:val="fr-FR"/>
        </w:rPr>
        <w:t xml:space="preserve"> si </w:t>
      </w:r>
      <w:r w:rsidR="00C744C1" w:rsidRPr="00C2548D">
        <w:rPr>
          <w:lang w:val="fr-FR"/>
        </w:rPr>
        <w:t>toutes</w:t>
      </w:r>
      <w:r w:rsidR="00EF5337" w:rsidRPr="00C2548D">
        <w:rPr>
          <w:lang w:val="fr-FR"/>
        </w:rPr>
        <w:t xml:space="preserve"> les conditions prévues par la loi </w:t>
      </w:r>
      <w:r w:rsidR="00C744C1" w:rsidRPr="00C2548D">
        <w:rPr>
          <w:lang w:val="fr-FR"/>
        </w:rPr>
        <w:t>étaient</w:t>
      </w:r>
      <w:r w:rsidR="00EF5337" w:rsidRPr="00C2548D">
        <w:rPr>
          <w:lang w:val="fr-FR"/>
        </w:rPr>
        <w:t xml:space="preserve"> rempli</w:t>
      </w:r>
      <w:r w:rsidR="00801719" w:rsidRPr="00C2548D">
        <w:rPr>
          <w:lang w:val="fr-FR"/>
        </w:rPr>
        <w:t>es</w:t>
      </w:r>
      <w:r w:rsidR="00EF5337" w:rsidRPr="00C2548D">
        <w:rPr>
          <w:lang w:val="fr-FR"/>
        </w:rPr>
        <w:t xml:space="preserve"> afin de </w:t>
      </w:r>
      <w:r w:rsidR="00C744C1" w:rsidRPr="00C2548D">
        <w:rPr>
          <w:lang w:val="fr-FR"/>
        </w:rPr>
        <w:t>déclarer</w:t>
      </w:r>
      <w:r w:rsidR="00EF5337" w:rsidRPr="00C2548D">
        <w:rPr>
          <w:lang w:val="fr-FR"/>
        </w:rPr>
        <w:t xml:space="preserve"> </w:t>
      </w:r>
      <w:r w:rsidR="00C744C1" w:rsidRPr="00C2548D">
        <w:rPr>
          <w:lang w:val="fr-FR"/>
        </w:rPr>
        <w:t>l</w:t>
      </w:r>
      <w:r w:rsidR="00C2548D">
        <w:rPr>
          <w:lang w:val="fr-FR"/>
        </w:rPr>
        <w:t>’</w:t>
      </w:r>
      <w:r w:rsidR="00C744C1" w:rsidRPr="00C2548D">
        <w:rPr>
          <w:lang w:val="fr-FR"/>
        </w:rPr>
        <w:t>enfant</w:t>
      </w:r>
      <w:r w:rsidR="00740792" w:rsidRPr="00C2548D">
        <w:rPr>
          <w:lang w:val="fr-FR"/>
        </w:rPr>
        <w:t xml:space="preserve"> adoptable</w:t>
      </w:r>
      <w:r w:rsidR="00EF5337" w:rsidRPr="00C2548D">
        <w:rPr>
          <w:lang w:val="fr-FR"/>
        </w:rPr>
        <w:t>.</w:t>
      </w:r>
    </w:p>
    <w:p w:rsidR="007A700F" w:rsidRPr="00C2548D" w:rsidRDefault="00C2548D" w:rsidP="00C744C1">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58</w:t>
      </w:r>
      <w:r>
        <w:rPr>
          <w:noProof/>
        </w:rPr>
        <w:fldChar w:fldCharType="end"/>
      </w:r>
      <w:r w:rsidR="00C744C1" w:rsidRPr="00C2548D">
        <w:rPr>
          <w:lang w:val="fr-FR"/>
        </w:rPr>
        <w:t xml:space="preserve">.  Enfin, le Gouvernement </w:t>
      </w:r>
      <w:r w:rsidR="00DB7C35" w:rsidRPr="00C2548D">
        <w:rPr>
          <w:lang w:val="fr-FR"/>
        </w:rPr>
        <w:t xml:space="preserve">objecte </w:t>
      </w:r>
      <w:r w:rsidR="007A700F" w:rsidRPr="00C2548D">
        <w:rPr>
          <w:lang w:val="fr-FR"/>
        </w:rPr>
        <w:t xml:space="preserve">que </w:t>
      </w:r>
      <w:r w:rsidR="00DB7C35" w:rsidRPr="00C2548D">
        <w:rPr>
          <w:lang w:val="fr-FR"/>
        </w:rPr>
        <w:t>c</w:t>
      </w:r>
      <w:r>
        <w:rPr>
          <w:lang w:val="fr-FR"/>
        </w:rPr>
        <w:t>’</w:t>
      </w:r>
      <w:r w:rsidR="00DB7C35" w:rsidRPr="00C2548D">
        <w:rPr>
          <w:lang w:val="fr-FR"/>
        </w:rPr>
        <w:t xml:space="preserve">est </w:t>
      </w:r>
      <w:r w:rsidR="007A700F" w:rsidRPr="00C2548D">
        <w:rPr>
          <w:lang w:val="fr-FR"/>
        </w:rPr>
        <w:t xml:space="preserve">le requérant </w:t>
      </w:r>
      <w:r w:rsidR="00DB7C35" w:rsidRPr="00C2548D">
        <w:rPr>
          <w:lang w:val="fr-FR"/>
        </w:rPr>
        <w:t xml:space="preserve">lui-même qui </w:t>
      </w:r>
      <w:r w:rsidR="007A700F" w:rsidRPr="00C2548D">
        <w:rPr>
          <w:lang w:val="fr-FR"/>
        </w:rPr>
        <w:t>a décidé</w:t>
      </w:r>
      <w:r w:rsidR="009358E4" w:rsidRPr="00C2548D">
        <w:rPr>
          <w:lang w:val="fr-FR"/>
        </w:rPr>
        <w:t>,</w:t>
      </w:r>
      <w:r w:rsidR="007A700F" w:rsidRPr="00C2548D">
        <w:rPr>
          <w:lang w:val="fr-FR"/>
        </w:rPr>
        <w:t xml:space="preserve"> </w:t>
      </w:r>
      <w:r w:rsidR="00E32A30" w:rsidRPr="00C2548D">
        <w:rPr>
          <w:lang w:val="fr-FR"/>
        </w:rPr>
        <w:t>sans scrupule</w:t>
      </w:r>
      <w:r w:rsidR="002154AF" w:rsidRPr="00C2548D">
        <w:rPr>
          <w:lang w:val="fr-FR"/>
        </w:rPr>
        <w:t>s</w:t>
      </w:r>
      <w:r w:rsidR="009358E4" w:rsidRPr="00C2548D">
        <w:rPr>
          <w:lang w:val="fr-FR"/>
        </w:rPr>
        <w:t>,</w:t>
      </w:r>
      <w:r w:rsidR="00E32A30" w:rsidRPr="00C2548D">
        <w:rPr>
          <w:lang w:val="fr-FR"/>
        </w:rPr>
        <w:t xml:space="preserve"> </w:t>
      </w:r>
      <w:r w:rsidR="007A700F" w:rsidRPr="00C2548D">
        <w:rPr>
          <w:lang w:val="fr-FR"/>
        </w:rPr>
        <w:t>d</w:t>
      </w:r>
      <w:r>
        <w:rPr>
          <w:lang w:val="fr-FR"/>
        </w:rPr>
        <w:t>’</w:t>
      </w:r>
      <w:r w:rsidR="00C744C1" w:rsidRPr="00C2548D">
        <w:rPr>
          <w:lang w:val="fr-FR"/>
        </w:rPr>
        <w:t>emmener</w:t>
      </w:r>
      <w:r w:rsidR="007A700F" w:rsidRPr="00C2548D">
        <w:rPr>
          <w:lang w:val="fr-FR"/>
        </w:rPr>
        <w:t xml:space="preserve"> sa fille avec lui</w:t>
      </w:r>
      <w:r w:rsidR="002154AF" w:rsidRPr="00C2548D">
        <w:rPr>
          <w:lang w:val="fr-FR"/>
        </w:rPr>
        <w:t xml:space="preserve"> dans </w:t>
      </w:r>
      <w:r w:rsidR="007A700F" w:rsidRPr="00C2548D">
        <w:rPr>
          <w:lang w:val="fr-FR"/>
        </w:rPr>
        <w:t xml:space="preserve">une traversée </w:t>
      </w:r>
      <w:r w:rsidR="00C744C1" w:rsidRPr="00C2548D">
        <w:rPr>
          <w:lang w:val="fr-FR"/>
        </w:rPr>
        <w:t xml:space="preserve">de la </w:t>
      </w:r>
      <w:r w:rsidR="002154AF" w:rsidRPr="00C2548D">
        <w:rPr>
          <w:lang w:val="fr-FR"/>
        </w:rPr>
        <w:t>M</w:t>
      </w:r>
      <w:r w:rsidR="00C744C1" w:rsidRPr="00C2548D">
        <w:rPr>
          <w:lang w:val="fr-FR"/>
        </w:rPr>
        <w:t xml:space="preserve">éditerranée </w:t>
      </w:r>
      <w:r w:rsidR="007A700F" w:rsidRPr="00C2548D">
        <w:rPr>
          <w:lang w:val="fr-FR"/>
        </w:rPr>
        <w:t>en bateau</w:t>
      </w:r>
      <w:r w:rsidR="002154AF" w:rsidRPr="00C2548D">
        <w:rPr>
          <w:lang w:val="fr-FR"/>
        </w:rPr>
        <w:t>,</w:t>
      </w:r>
      <w:r w:rsidR="007A700F" w:rsidRPr="00C2548D">
        <w:rPr>
          <w:lang w:val="fr-FR"/>
        </w:rPr>
        <w:t xml:space="preserve"> </w:t>
      </w:r>
      <w:r w:rsidR="00E32A30" w:rsidRPr="00C2548D">
        <w:rPr>
          <w:lang w:val="fr-FR"/>
        </w:rPr>
        <w:t xml:space="preserve">la séparant ainsi </w:t>
      </w:r>
      <w:r w:rsidR="007A700F" w:rsidRPr="00C2548D">
        <w:rPr>
          <w:lang w:val="fr-FR"/>
        </w:rPr>
        <w:t>du reste de sa famille</w:t>
      </w:r>
      <w:r w:rsidR="0094496E" w:rsidRPr="00C2548D">
        <w:rPr>
          <w:lang w:val="fr-FR"/>
        </w:rPr>
        <w:t xml:space="preserve">, </w:t>
      </w:r>
      <w:r w:rsidR="00101003" w:rsidRPr="00C2548D">
        <w:rPr>
          <w:lang w:val="fr-FR"/>
        </w:rPr>
        <w:t>afin</w:t>
      </w:r>
      <w:r w:rsidR="0094496E" w:rsidRPr="00C2548D">
        <w:rPr>
          <w:lang w:val="fr-FR"/>
        </w:rPr>
        <w:t xml:space="preserve"> d</w:t>
      </w:r>
      <w:r>
        <w:rPr>
          <w:lang w:val="fr-FR"/>
        </w:rPr>
        <w:t>’</w:t>
      </w:r>
      <w:r w:rsidR="0094496E" w:rsidRPr="00C2548D">
        <w:rPr>
          <w:lang w:val="fr-FR"/>
        </w:rPr>
        <w:t xml:space="preserve">obtenir plus facilement un </w:t>
      </w:r>
      <w:r w:rsidR="007A700F" w:rsidRPr="00C2548D">
        <w:rPr>
          <w:lang w:val="fr-FR"/>
        </w:rPr>
        <w:t xml:space="preserve">permis de </w:t>
      </w:r>
      <w:r w:rsidR="00C744C1" w:rsidRPr="00C2548D">
        <w:rPr>
          <w:lang w:val="fr-FR"/>
        </w:rPr>
        <w:t>séjour</w:t>
      </w:r>
      <w:r w:rsidR="00E86B7B" w:rsidRPr="00C2548D">
        <w:rPr>
          <w:lang w:val="fr-FR"/>
        </w:rPr>
        <w:t xml:space="preserve"> en </w:t>
      </w:r>
      <w:r w:rsidR="0094496E" w:rsidRPr="00C2548D">
        <w:rPr>
          <w:lang w:val="fr-FR"/>
        </w:rPr>
        <w:t>Italie</w:t>
      </w:r>
      <w:r w:rsidR="00E86B7B" w:rsidRPr="00C2548D">
        <w:rPr>
          <w:lang w:val="fr-FR"/>
        </w:rPr>
        <w:t>.</w:t>
      </w:r>
      <w:r w:rsidR="00C744C1" w:rsidRPr="00C2548D">
        <w:rPr>
          <w:lang w:val="fr-FR"/>
        </w:rPr>
        <w:t xml:space="preserve"> </w:t>
      </w:r>
      <w:r w:rsidR="00DB7C35" w:rsidRPr="00C2548D">
        <w:rPr>
          <w:lang w:val="fr-FR"/>
        </w:rPr>
        <w:t>L</w:t>
      </w:r>
      <w:r>
        <w:rPr>
          <w:lang w:val="fr-FR"/>
        </w:rPr>
        <w:t>’</w:t>
      </w:r>
      <w:r w:rsidR="00DB7C35" w:rsidRPr="00C2548D">
        <w:rPr>
          <w:lang w:val="fr-FR"/>
        </w:rPr>
        <w:t>enfant</w:t>
      </w:r>
      <w:r w:rsidR="002154AF" w:rsidRPr="00C2548D">
        <w:rPr>
          <w:lang w:val="fr-FR"/>
        </w:rPr>
        <w:t xml:space="preserve">, écrit-il, </w:t>
      </w:r>
      <w:r w:rsidR="007A700F" w:rsidRPr="00C2548D">
        <w:rPr>
          <w:lang w:val="fr-FR"/>
        </w:rPr>
        <w:t xml:space="preserve">« a failli mourir en </w:t>
      </w:r>
      <w:r w:rsidR="00801719" w:rsidRPr="00C2548D">
        <w:rPr>
          <w:lang w:val="fr-FR"/>
        </w:rPr>
        <w:t>mer</w:t>
      </w:r>
      <w:r w:rsidR="007A700F" w:rsidRPr="00C2548D">
        <w:rPr>
          <w:lang w:val="fr-FR"/>
        </w:rPr>
        <w:t>, à cause de la décision prise par le requérant</w:t>
      </w:r>
      <w:r w:rsidR="00587A0B" w:rsidRPr="00C2548D">
        <w:rPr>
          <w:lang w:val="fr-FR"/>
        </w:rPr>
        <w:t> »</w:t>
      </w:r>
      <w:r w:rsidR="007B6CE1" w:rsidRPr="00C2548D">
        <w:rPr>
          <w:lang w:val="fr-FR"/>
        </w:rPr>
        <w:t xml:space="preserve"> tandis que</w:t>
      </w:r>
      <w:r w:rsidR="00587A0B" w:rsidRPr="00C2548D">
        <w:rPr>
          <w:lang w:val="fr-FR"/>
        </w:rPr>
        <w:t xml:space="preserve"> « </w:t>
      </w:r>
      <w:r w:rsidR="007A700F" w:rsidRPr="00C2548D">
        <w:rPr>
          <w:lang w:val="fr-FR"/>
        </w:rPr>
        <w:t xml:space="preserve">les autorités </w:t>
      </w:r>
      <w:r w:rsidR="00E86B7B" w:rsidRPr="00C2548D">
        <w:rPr>
          <w:lang w:val="fr-FR"/>
        </w:rPr>
        <w:t xml:space="preserve">italiennes </w:t>
      </w:r>
      <w:r w:rsidR="007A700F" w:rsidRPr="00C2548D">
        <w:rPr>
          <w:lang w:val="fr-FR"/>
        </w:rPr>
        <w:t>ont pris soin d</w:t>
      </w:r>
      <w:r>
        <w:rPr>
          <w:lang w:val="fr-FR"/>
        </w:rPr>
        <w:t>’</w:t>
      </w:r>
      <w:r w:rsidR="0011269D" w:rsidRPr="00C2548D">
        <w:rPr>
          <w:lang w:val="fr-FR"/>
        </w:rPr>
        <w:t xml:space="preserve">elle et </w:t>
      </w:r>
      <w:r w:rsidR="00587A0B" w:rsidRPr="00C2548D">
        <w:rPr>
          <w:lang w:val="fr-FR"/>
        </w:rPr>
        <w:t>[lui ont donné]</w:t>
      </w:r>
      <w:r w:rsidR="00C744C1" w:rsidRPr="00C2548D">
        <w:rPr>
          <w:lang w:val="fr-FR"/>
        </w:rPr>
        <w:t xml:space="preserve"> un avenir</w:t>
      </w:r>
      <w:r w:rsidR="007A700F" w:rsidRPr="00C2548D">
        <w:rPr>
          <w:lang w:val="fr-FR"/>
        </w:rPr>
        <w:t> »</w:t>
      </w:r>
      <w:r w:rsidR="00587A0B" w:rsidRPr="00C2548D">
        <w:rPr>
          <w:lang w:val="fr-FR"/>
        </w:rPr>
        <w:t>.</w:t>
      </w:r>
    </w:p>
    <w:p w:rsidR="00C744C1" w:rsidRPr="00C744C1" w:rsidRDefault="00C744C1" w:rsidP="00C744C1">
      <w:pPr>
        <w:pStyle w:val="ECHRHeading3"/>
      </w:pPr>
      <w:r>
        <w:t>2.  Appréciation de la Cour</w:t>
      </w:r>
    </w:p>
    <w:p w:rsidR="0011269D" w:rsidRPr="00C2548D" w:rsidRDefault="0011269D" w:rsidP="009F21FF">
      <w:pPr>
        <w:pStyle w:val="ECHRHeading4"/>
        <w:rPr>
          <w:lang w:val="fr-FR"/>
        </w:rPr>
      </w:pPr>
      <w:r w:rsidRPr="00C2548D">
        <w:rPr>
          <w:lang w:val="fr-FR"/>
        </w:rPr>
        <w:t>a)</w:t>
      </w:r>
      <w:r w:rsidR="009F21FF" w:rsidRPr="00C2548D">
        <w:rPr>
          <w:lang w:val="fr-FR"/>
        </w:rPr>
        <w:t>  </w:t>
      </w:r>
      <w:r w:rsidRPr="00C2548D">
        <w:rPr>
          <w:lang w:val="fr-FR"/>
        </w:rPr>
        <w:t>Principes généraux</w:t>
      </w:r>
    </w:p>
    <w:p w:rsidR="0011269D" w:rsidRPr="000E6D7E" w:rsidRDefault="00C2548D" w:rsidP="0011269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59</w:t>
      </w:r>
      <w:r>
        <w:rPr>
          <w:noProof/>
        </w:rPr>
        <w:fldChar w:fldCharType="end"/>
      </w:r>
      <w:r w:rsidR="003D03A8" w:rsidRPr="00C2548D">
        <w:rPr>
          <w:lang w:val="fr-FR"/>
        </w:rPr>
        <w:t>.  </w:t>
      </w:r>
      <w:r w:rsidR="0011269D" w:rsidRPr="00C2548D">
        <w:rPr>
          <w:lang w:val="fr-FR"/>
        </w:rPr>
        <w:t xml:space="preserve">La Cour constate </w:t>
      </w:r>
      <w:r w:rsidR="006767B6" w:rsidRPr="00C2548D">
        <w:rPr>
          <w:lang w:val="fr-FR"/>
        </w:rPr>
        <w:t>à titre liminaire</w:t>
      </w:r>
      <w:r w:rsidR="0011269D" w:rsidRPr="00C2548D">
        <w:rPr>
          <w:lang w:val="fr-FR"/>
        </w:rPr>
        <w:t xml:space="preserve"> qu</w:t>
      </w:r>
      <w:r>
        <w:rPr>
          <w:lang w:val="fr-FR"/>
        </w:rPr>
        <w:t>’</w:t>
      </w:r>
      <w:r w:rsidR="0011269D" w:rsidRPr="00C2548D">
        <w:rPr>
          <w:lang w:val="fr-FR"/>
        </w:rPr>
        <w:t>il n</w:t>
      </w:r>
      <w:r>
        <w:rPr>
          <w:lang w:val="fr-FR"/>
        </w:rPr>
        <w:t>’</w:t>
      </w:r>
      <w:r w:rsidR="0011269D" w:rsidRPr="00C2548D">
        <w:rPr>
          <w:lang w:val="fr-FR"/>
        </w:rPr>
        <w:t>est pas contesté que la déclaration d</w:t>
      </w:r>
      <w:r>
        <w:rPr>
          <w:lang w:val="fr-FR"/>
        </w:rPr>
        <w:t>’</w:t>
      </w:r>
      <w:r w:rsidR="0011269D" w:rsidRPr="00C2548D">
        <w:rPr>
          <w:lang w:val="fr-FR"/>
        </w:rPr>
        <w:t>adoptabilité de A. constitue une ingérence dans l</w:t>
      </w:r>
      <w:r>
        <w:rPr>
          <w:lang w:val="fr-FR"/>
        </w:rPr>
        <w:t>’</w:t>
      </w:r>
      <w:r w:rsidR="0011269D" w:rsidRPr="00C2548D">
        <w:rPr>
          <w:lang w:val="fr-FR"/>
        </w:rPr>
        <w:t xml:space="preserve">exercice du droit </w:t>
      </w:r>
      <w:r w:rsidR="00C744C1" w:rsidRPr="00C2548D">
        <w:rPr>
          <w:lang w:val="fr-FR"/>
        </w:rPr>
        <w:t>du requérant</w:t>
      </w:r>
      <w:r w:rsidR="0011269D" w:rsidRPr="00C2548D">
        <w:rPr>
          <w:lang w:val="fr-FR"/>
        </w:rPr>
        <w:t xml:space="preserve"> au respect de sa vie familiale. Elle rappelle qu</w:t>
      </w:r>
      <w:r>
        <w:rPr>
          <w:lang w:val="fr-FR"/>
        </w:rPr>
        <w:t>’</w:t>
      </w:r>
      <w:r w:rsidR="0011269D" w:rsidRPr="00C2548D">
        <w:rPr>
          <w:lang w:val="fr-FR"/>
        </w:rPr>
        <w:t>une telle ingérence n</w:t>
      </w:r>
      <w:r>
        <w:rPr>
          <w:lang w:val="fr-FR"/>
        </w:rPr>
        <w:t>’</w:t>
      </w:r>
      <w:r w:rsidR="0011269D" w:rsidRPr="00C2548D">
        <w:rPr>
          <w:lang w:val="fr-FR"/>
        </w:rPr>
        <w:t>est compatible avec l</w:t>
      </w:r>
      <w:r>
        <w:rPr>
          <w:lang w:val="fr-FR"/>
        </w:rPr>
        <w:t>’</w:t>
      </w:r>
      <w:r w:rsidR="0011269D" w:rsidRPr="00C2548D">
        <w:rPr>
          <w:lang w:val="fr-FR"/>
        </w:rPr>
        <w:t>article 8 que si elle remplit les conditions cumulatives d</w:t>
      </w:r>
      <w:r>
        <w:rPr>
          <w:lang w:val="fr-FR"/>
        </w:rPr>
        <w:t>’</w:t>
      </w:r>
      <w:r w:rsidR="0011269D" w:rsidRPr="00C2548D">
        <w:rPr>
          <w:lang w:val="fr-FR"/>
        </w:rPr>
        <w:t>être prévue par la loi, de poursuivre un but légitime, et d</w:t>
      </w:r>
      <w:r>
        <w:rPr>
          <w:lang w:val="fr-FR"/>
        </w:rPr>
        <w:t>’</w:t>
      </w:r>
      <w:r w:rsidR="0011269D" w:rsidRPr="00C2548D">
        <w:rPr>
          <w:lang w:val="fr-FR"/>
        </w:rPr>
        <w:t xml:space="preserve">être nécessaire dans une société démocratique. </w:t>
      </w:r>
      <w:r w:rsidR="0011269D" w:rsidRPr="000E6D7E">
        <w:rPr>
          <w:lang w:val="fr-FR"/>
        </w:rPr>
        <w:t>La notion de nécessité implique que l</w:t>
      </w:r>
      <w:r>
        <w:rPr>
          <w:lang w:val="fr-FR"/>
        </w:rPr>
        <w:t>’</w:t>
      </w:r>
      <w:r w:rsidR="0011269D" w:rsidRPr="000E6D7E">
        <w:rPr>
          <w:lang w:val="fr-FR"/>
        </w:rPr>
        <w:t>ingérence se fonde sur un besoin social impérieux et qu</w:t>
      </w:r>
      <w:r>
        <w:rPr>
          <w:lang w:val="fr-FR"/>
        </w:rPr>
        <w:t>’</w:t>
      </w:r>
      <w:r w:rsidR="0011269D" w:rsidRPr="000E6D7E">
        <w:rPr>
          <w:lang w:val="fr-FR"/>
        </w:rPr>
        <w:t xml:space="preserve">elle soit notamment proportionnée au but légitime recherché (voir, </w:t>
      </w:r>
      <w:r w:rsidR="000E6D7E" w:rsidRPr="000E6D7E">
        <w:rPr>
          <w:i/>
          <w:lang w:val="fr-FR"/>
        </w:rPr>
        <w:t>Gnahoré c. </w:t>
      </w:r>
      <w:r w:rsidR="0011269D" w:rsidRPr="000E6D7E">
        <w:rPr>
          <w:i/>
          <w:lang w:val="fr-FR"/>
        </w:rPr>
        <w:t xml:space="preserve">France, </w:t>
      </w:r>
      <w:r w:rsidR="006767B6" w:rsidRPr="000E6D7E">
        <w:rPr>
          <w:lang w:val="fr-FR"/>
        </w:rPr>
        <w:t>n</w:t>
      </w:r>
      <w:r w:rsidR="006767B6" w:rsidRPr="000E6D7E">
        <w:rPr>
          <w:vertAlign w:val="superscript"/>
          <w:lang w:val="fr-FR"/>
        </w:rPr>
        <w:t>o</w:t>
      </w:r>
      <w:r w:rsidR="0011269D" w:rsidRPr="000E6D7E">
        <w:rPr>
          <w:lang w:val="fr-FR"/>
        </w:rPr>
        <w:t xml:space="preserve"> </w:t>
      </w:r>
      <w:hyperlink r:id="rId14" w:anchor="{&quot;appno&quot;:[&quot;40031/98&quot;]}" w:tgtFrame="_blank" w:history="1">
        <w:r w:rsidR="0011269D" w:rsidRPr="000E6D7E">
          <w:rPr>
            <w:rStyle w:val="Hyperlink"/>
            <w:color w:val="auto"/>
            <w:u w:val="none"/>
            <w:lang w:val="fr-FR"/>
          </w:rPr>
          <w:t>40031/98</w:t>
        </w:r>
      </w:hyperlink>
      <w:r w:rsidR="0011269D" w:rsidRPr="000E6D7E">
        <w:rPr>
          <w:lang w:val="fr-FR"/>
        </w:rPr>
        <w:t>, § 50, CEDH 2000</w:t>
      </w:r>
      <w:r w:rsidR="0011269D" w:rsidRPr="000E6D7E">
        <w:rPr>
          <w:lang w:val="fr-FR"/>
        </w:rPr>
        <w:noBreakHyphen/>
        <w:t xml:space="preserve">IX, </w:t>
      </w:r>
      <w:r w:rsidR="0011269D" w:rsidRPr="000E6D7E">
        <w:rPr>
          <w:i/>
          <w:lang w:val="fr-FR"/>
        </w:rPr>
        <w:t>Couillard Maugery c. France,</w:t>
      </w:r>
      <w:r w:rsidR="0011269D" w:rsidRPr="000E6D7E">
        <w:rPr>
          <w:lang w:val="fr-FR"/>
        </w:rPr>
        <w:t xml:space="preserve"> </w:t>
      </w:r>
      <w:r w:rsidR="006767B6" w:rsidRPr="000E6D7E">
        <w:rPr>
          <w:lang w:val="fr-FR"/>
        </w:rPr>
        <w:t>n</w:t>
      </w:r>
      <w:r w:rsidR="006767B6" w:rsidRPr="000E6D7E">
        <w:rPr>
          <w:vertAlign w:val="superscript"/>
          <w:lang w:val="fr-FR"/>
        </w:rPr>
        <w:t>o</w:t>
      </w:r>
      <w:r w:rsidR="0011269D" w:rsidRPr="000E6D7E">
        <w:rPr>
          <w:lang w:val="fr-FR"/>
        </w:rPr>
        <w:t xml:space="preserve"> </w:t>
      </w:r>
      <w:hyperlink r:id="rId15" w:anchor="{&quot;appno&quot;:[&quot;64796/01&quot;]}" w:tgtFrame="_blank" w:history="1">
        <w:r w:rsidR="0011269D" w:rsidRPr="000E6D7E">
          <w:rPr>
            <w:rStyle w:val="Hyperlink"/>
            <w:color w:val="auto"/>
            <w:u w:val="none"/>
            <w:lang w:val="fr-FR"/>
          </w:rPr>
          <w:t>64796/01</w:t>
        </w:r>
      </w:hyperlink>
      <w:r w:rsidR="0011269D" w:rsidRPr="000E6D7E">
        <w:rPr>
          <w:lang w:val="fr-FR"/>
        </w:rPr>
        <w:t xml:space="preserve">, § 237, 1er juillet 2004, et </w:t>
      </w:r>
      <w:r w:rsidR="0011269D" w:rsidRPr="000E6D7E">
        <w:rPr>
          <w:i/>
          <w:lang w:val="fr-FR"/>
        </w:rPr>
        <w:t>Pontes c. Portugal</w:t>
      </w:r>
      <w:r w:rsidR="0011269D" w:rsidRPr="000E6D7E">
        <w:rPr>
          <w:lang w:val="fr-FR"/>
        </w:rPr>
        <w:t xml:space="preserve">, </w:t>
      </w:r>
      <w:r w:rsidR="006767B6" w:rsidRPr="000E6D7E">
        <w:rPr>
          <w:lang w:val="fr-FR"/>
        </w:rPr>
        <w:t>n</w:t>
      </w:r>
      <w:r w:rsidR="006767B6" w:rsidRPr="000E6D7E">
        <w:rPr>
          <w:vertAlign w:val="superscript"/>
          <w:lang w:val="fr-FR"/>
        </w:rPr>
        <w:t>o</w:t>
      </w:r>
      <w:r w:rsidR="000E6D7E">
        <w:rPr>
          <w:lang w:val="fr-FR"/>
        </w:rPr>
        <w:t> </w:t>
      </w:r>
      <w:hyperlink r:id="rId16" w:anchor="{&quot;appno&quot;:[&quot;19554/09&quot;]}" w:tgtFrame="_blank" w:history="1">
        <w:r w:rsidR="0011269D" w:rsidRPr="000E6D7E">
          <w:rPr>
            <w:rStyle w:val="Hyperlink"/>
            <w:color w:val="auto"/>
            <w:u w:val="none"/>
            <w:lang w:val="fr-FR"/>
          </w:rPr>
          <w:t>19554/09</w:t>
        </w:r>
      </w:hyperlink>
      <w:r w:rsidR="0011269D" w:rsidRPr="000E6D7E">
        <w:rPr>
          <w:lang w:val="fr-FR"/>
        </w:rPr>
        <w:t>, §74, 10 avril 2012).</w:t>
      </w:r>
    </w:p>
    <w:p w:rsidR="0011269D" w:rsidRPr="00C2548D" w:rsidRDefault="00C2548D" w:rsidP="0011269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60</w:t>
      </w:r>
      <w:r>
        <w:rPr>
          <w:noProof/>
        </w:rPr>
        <w:fldChar w:fldCharType="end"/>
      </w:r>
      <w:r w:rsidR="003D03A8" w:rsidRPr="00C2548D">
        <w:rPr>
          <w:lang w:val="fr-FR"/>
        </w:rPr>
        <w:t>.  </w:t>
      </w:r>
      <w:r w:rsidR="0011269D" w:rsidRPr="00C2548D">
        <w:rPr>
          <w:lang w:val="fr-FR"/>
        </w:rPr>
        <w:t>La Cour rappelle qu</w:t>
      </w:r>
      <w:r>
        <w:rPr>
          <w:lang w:val="fr-FR"/>
        </w:rPr>
        <w:t>’</w:t>
      </w:r>
      <w:r w:rsidR="0011269D" w:rsidRPr="00C2548D">
        <w:rPr>
          <w:lang w:val="fr-FR"/>
        </w:rPr>
        <w:t>au-delà de la protection contre les ingérences arbitraires, l</w:t>
      </w:r>
      <w:r>
        <w:rPr>
          <w:lang w:val="fr-FR"/>
        </w:rPr>
        <w:t>’</w:t>
      </w:r>
      <w:r w:rsidR="0011269D" w:rsidRPr="00C2548D">
        <w:rPr>
          <w:lang w:val="fr-FR"/>
        </w:rPr>
        <w:t>article 8 met à la charge de l</w:t>
      </w:r>
      <w:r>
        <w:rPr>
          <w:lang w:val="fr-FR"/>
        </w:rPr>
        <w:t>’</w:t>
      </w:r>
      <w:r w:rsidR="0011269D" w:rsidRPr="00C2548D">
        <w:rPr>
          <w:lang w:val="fr-FR"/>
        </w:rPr>
        <w:t>État des obligations positives inhérentes au respect effectif de la vie familiale. Ainsi, là où l</w:t>
      </w:r>
      <w:r>
        <w:rPr>
          <w:lang w:val="fr-FR"/>
        </w:rPr>
        <w:t>’</w:t>
      </w:r>
      <w:r w:rsidR="0011269D" w:rsidRPr="00C2548D">
        <w:rPr>
          <w:lang w:val="fr-FR"/>
        </w:rPr>
        <w:t>existence d</w:t>
      </w:r>
      <w:r>
        <w:rPr>
          <w:lang w:val="fr-FR"/>
        </w:rPr>
        <w:t>’</w:t>
      </w:r>
      <w:r w:rsidR="0011269D" w:rsidRPr="00C2548D">
        <w:rPr>
          <w:lang w:val="fr-FR"/>
        </w:rPr>
        <w:t>un lien familial se trouve établie, l</w:t>
      </w:r>
      <w:r>
        <w:rPr>
          <w:lang w:val="fr-FR"/>
        </w:rPr>
        <w:t>’</w:t>
      </w:r>
      <w:r w:rsidR="0011269D" w:rsidRPr="00C2548D">
        <w:rPr>
          <w:lang w:val="fr-FR"/>
        </w:rPr>
        <w:t xml:space="preserve">État doit en principe agir de manière à permettre à ce lien de se développer (voir, </w:t>
      </w:r>
      <w:r w:rsidR="0011269D" w:rsidRPr="00C2548D">
        <w:rPr>
          <w:i/>
          <w:lang w:val="fr-FR"/>
        </w:rPr>
        <w:t>Olsson c. Suède</w:t>
      </w:r>
      <w:r w:rsidR="0011269D" w:rsidRPr="00C2548D">
        <w:rPr>
          <w:lang w:val="fr-FR"/>
        </w:rPr>
        <w:t xml:space="preserve"> (</w:t>
      </w:r>
      <w:r w:rsidR="006767B6" w:rsidRPr="00C2548D">
        <w:rPr>
          <w:lang w:val="fr-FR"/>
        </w:rPr>
        <w:t>n</w:t>
      </w:r>
      <w:r w:rsidR="006767B6" w:rsidRPr="00C2548D">
        <w:rPr>
          <w:vertAlign w:val="superscript"/>
          <w:lang w:val="fr-FR"/>
        </w:rPr>
        <w:t>o</w:t>
      </w:r>
      <w:r w:rsidR="0011269D" w:rsidRPr="00C2548D">
        <w:rPr>
          <w:lang w:val="fr-FR"/>
        </w:rPr>
        <w:t xml:space="preserve"> 2), 27</w:t>
      </w:r>
      <w:r w:rsidR="009F21FF" w:rsidRPr="00C2548D">
        <w:rPr>
          <w:lang w:val="fr-FR"/>
        </w:rPr>
        <w:t> </w:t>
      </w:r>
      <w:r w:rsidR="0011269D" w:rsidRPr="00C2548D">
        <w:rPr>
          <w:lang w:val="fr-FR"/>
        </w:rPr>
        <w:t xml:space="preserve">novembre 1992, § 90, série A </w:t>
      </w:r>
      <w:r w:rsidR="006767B6" w:rsidRPr="00C2548D">
        <w:rPr>
          <w:lang w:val="fr-FR"/>
        </w:rPr>
        <w:t>n</w:t>
      </w:r>
      <w:r w:rsidR="006767B6" w:rsidRPr="00C2548D">
        <w:rPr>
          <w:vertAlign w:val="superscript"/>
          <w:lang w:val="fr-FR"/>
        </w:rPr>
        <w:t>o</w:t>
      </w:r>
      <w:r w:rsidR="0011269D" w:rsidRPr="00C2548D">
        <w:rPr>
          <w:lang w:val="fr-FR"/>
        </w:rPr>
        <w:t xml:space="preserve"> 250). La frontière entre les obligations positives et négatives découlant de l</w:t>
      </w:r>
      <w:r>
        <w:rPr>
          <w:lang w:val="fr-FR"/>
        </w:rPr>
        <w:t>’</w:t>
      </w:r>
      <w:r w:rsidR="0011269D" w:rsidRPr="00C2548D">
        <w:rPr>
          <w:lang w:val="fr-FR"/>
        </w:rPr>
        <w:t>article 8 ne se prête pas à une définition précise, mais les principes applicables sont néanmoins comparables. En particulier, dans les deux cas, il faut avoir égard au juste équilibre à ménager entre les intérêts concurrents, en tenant compte toutefois de ce que l</w:t>
      </w:r>
      <w:r>
        <w:rPr>
          <w:lang w:val="fr-FR"/>
        </w:rPr>
        <w:t>’</w:t>
      </w:r>
      <w:r w:rsidR="0011269D" w:rsidRPr="00C2548D">
        <w:rPr>
          <w:lang w:val="fr-FR"/>
        </w:rPr>
        <w:t>intérêt supérieur de l</w:t>
      </w:r>
      <w:r>
        <w:rPr>
          <w:lang w:val="fr-FR"/>
        </w:rPr>
        <w:t>’</w:t>
      </w:r>
      <w:r w:rsidR="0011269D" w:rsidRPr="00C2548D">
        <w:rPr>
          <w:lang w:val="fr-FR"/>
        </w:rPr>
        <w:t>enfant doit constituer la considération déterminante qui, selon sa nature et sa gravité, peut l</w:t>
      </w:r>
      <w:r>
        <w:rPr>
          <w:lang w:val="fr-FR"/>
        </w:rPr>
        <w:t>’</w:t>
      </w:r>
      <w:r w:rsidR="0011269D" w:rsidRPr="00C2548D">
        <w:rPr>
          <w:lang w:val="fr-FR"/>
        </w:rPr>
        <w:t>emporter sur celui du parent (</w:t>
      </w:r>
      <w:r w:rsidR="0011269D" w:rsidRPr="00C2548D">
        <w:rPr>
          <w:i/>
          <w:lang w:val="fr-FR"/>
        </w:rPr>
        <w:t>Kearns c. France</w:t>
      </w:r>
      <w:r w:rsidR="0011269D" w:rsidRPr="00C2548D">
        <w:rPr>
          <w:lang w:val="fr-FR"/>
        </w:rPr>
        <w:t xml:space="preserve">, </w:t>
      </w:r>
      <w:r w:rsidR="006767B6" w:rsidRPr="00C2548D">
        <w:rPr>
          <w:lang w:val="fr-FR"/>
        </w:rPr>
        <w:t>n</w:t>
      </w:r>
      <w:r w:rsidR="006767B6" w:rsidRPr="00C2548D">
        <w:rPr>
          <w:vertAlign w:val="superscript"/>
          <w:lang w:val="fr-FR"/>
        </w:rPr>
        <w:t>o</w:t>
      </w:r>
      <w:r w:rsidR="0011269D" w:rsidRPr="00C2548D">
        <w:rPr>
          <w:lang w:val="fr-FR"/>
        </w:rPr>
        <w:t xml:space="preserve"> </w:t>
      </w:r>
      <w:hyperlink r:id="rId17" w:anchor="{&quot;appno&quot;:[&quot;35991/04&quot;]}" w:tgtFrame="_blank" w:history="1">
        <w:r w:rsidR="0011269D" w:rsidRPr="00C2548D">
          <w:rPr>
            <w:rStyle w:val="Hyperlink"/>
            <w:color w:val="auto"/>
            <w:u w:val="none"/>
            <w:lang w:val="fr-FR"/>
          </w:rPr>
          <w:t>35991/04</w:t>
        </w:r>
      </w:hyperlink>
      <w:r w:rsidR="0011269D" w:rsidRPr="00C2548D">
        <w:rPr>
          <w:lang w:val="fr-FR"/>
        </w:rPr>
        <w:t>, § 79, 10 janvier 2008). Notamment, l</w:t>
      </w:r>
      <w:r>
        <w:rPr>
          <w:lang w:val="fr-FR"/>
        </w:rPr>
        <w:t>’</w:t>
      </w:r>
      <w:r w:rsidR="0011269D" w:rsidRPr="00C2548D">
        <w:rPr>
          <w:lang w:val="fr-FR"/>
        </w:rPr>
        <w:t>article 8 ne saurait autoriser un parent à voir prendre des mesures préjudiciables à la santé et au développement de l</w:t>
      </w:r>
      <w:r>
        <w:rPr>
          <w:lang w:val="fr-FR"/>
        </w:rPr>
        <w:t>’</w:t>
      </w:r>
      <w:r w:rsidR="0011269D" w:rsidRPr="00C2548D">
        <w:rPr>
          <w:lang w:val="fr-FR"/>
        </w:rPr>
        <w:t xml:space="preserve">enfant (voir </w:t>
      </w:r>
      <w:r w:rsidR="0011269D" w:rsidRPr="00C2548D">
        <w:rPr>
          <w:i/>
          <w:lang w:val="fr-FR"/>
        </w:rPr>
        <w:t>Johansen c. Norvège,</w:t>
      </w:r>
      <w:r w:rsidR="0011269D" w:rsidRPr="00C2548D">
        <w:rPr>
          <w:lang w:val="fr-FR"/>
        </w:rPr>
        <w:t xml:space="preserve"> 7 août 1996, § 78, </w:t>
      </w:r>
      <w:r w:rsidR="0011269D" w:rsidRPr="00C2548D">
        <w:rPr>
          <w:i/>
          <w:lang w:val="fr-FR"/>
        </w:rPr>
        <w:t>Recueil des arrêts et décisions</w:t>
      </w:r>
      <w:r w:rsidR="0011269D" w:rsidRPr="00C2548D">
        <w:rPr>
          <w:lang w:val="fr-FR"/>
        </w:rPr>
        <w:t xml:space="preserve"> 1996</w:t>
      </w:r>
      <w:r w:rsidR="0011269D" w:rsidRPr="00C2548D">
        <w:rPr>
          <w:lang w:val="fr-FR"/>
        </w:rPr>
        <w:noBreakHyphen/>
        <w:t xml:space="preserve">III, et </w:t>
      </w:r>
      <w:r w:rsidR="0011269D" w:rsidRPr="00C2548D">
        <w:rPr>
          <w:i/>
          <w:lang w:val="fr-FR"/>
        </w:rPr>
        <w:t>Gnahoré,</w:t>
      </w:r>
      <w:r w:rsidR="0011269D" w:rsidRPr="00C2548D">
        <w:rPr>
          <w:lang w:val="fr-FR"/>
        </w:rPr>
        <w:t xml:space="preserve"> précité, §</w:t>
      </w:r>
      <w:r w:rsidR="007D5CCA" w:rsidRPr="00C2548D">
        <w:rPr>
          <w:lang w:val="fr-FR"/>
        </w:rPr>
        <w:t> </w:t>
      </w:r>
      <w:r w:rsidR="0011269D" w:rsidRPr="00C2548D">
        <w:rPr>
          <w:lang w:val="fr-FR"/>
        </w:rPr>
        <w:t>59). Ainsi, en matière d</w:t>
      </w:r>
      <w:r>
        <w:rPr>
          <w:lang w:val="fr-FR"/>
        </w:rPr>
        <w:t>’</w:t>
      </w:r>
      <w:r w:rsidR="0011269D" w:rsidRPr="00C2548D">
        <w:rPr>
          <w:lang w:val="fr-FR"/>
        </w:rPr>
        <w:t>adoption, la Cour a déjà admis qu</w:t>
      </w:r>
      <w:r>
        <w:rPr>
          <w:lang w:val="fr-FR"/>
        </w:rPr>
        <w:t>’</w:t>
      </w:r>
      <w:r w:rsidR="0011269D" w:rsidRPr="00C2548D">
        <w:rPr>
          <w:lang w:val="fr-FR"/>
        </w:rPr>
        <w:t>il puisse être de l</w:t>
      </w:r>
      <w:r>
        <w:rPr>
          <w:lang w:val="fr-FR"/>
        </w:rPr>
        <w:t>’</w:t>
      </w:r>
      <w:r w:rsidR="0011269D" w:rsidRPr="00C2548D">
        <w:rPr>
          <w:lang w:val="fr-FR"/>
        </w:rPr>
        <w:t>intérêt du mineur de favoriser l</w:t>
      </w:r>
      <w:r>
        <w:rPr>
          <w:lang w:val="fr-FR"/>
        </w:rPr>
        <w:t>’</w:t>
      </w:r>
      <w:r w:rsidR="0011269D" w:rsidRPr="00C2548D">
        <w:rPr>
          <w:lang w:val="fr-FR"/>
        </w:rPr>
        <w:t>instauration de liens affectifs stables avec ses parents nourriciers (</w:t>
      </w:r>
      <w:r w:rsidR="0011269D" w:rsidRPr="00C2548D">
        <w:rPr>
          <w:i/>
          <w:lang w:val="fr-FR"/>
        </w:rPr>
        <w:t>Johansen,</w:t>
      </w:r>
      <w:r w:rsidR="0011269D" w:rsidRPr="00C2548D">
        <w:rPr>
          <w:lang w:val="fr-FR"/>
        </w:rPr>
        <w:t xml:space="preserve"> précité, § 80, et </w:t>
      </w:r>
      <w:r w:rsidR="0011269D" w:rsidRPr="00C2548D">
        <w:rPr>
          <w:i/>
          <w:lang w:val="fr-FR"/>
        </w:rPr>
        <w:t>Kearns</w:t>
      </w:r>
      <w:r w:rsidR="0011269D" w:rsidRPr="00C2548D">
        <w:rPr>
          <w:lang w:val="fr-FR"/>
        </w:rPr>
        <w:t>, précité, § 80).</w:t>
      </w:r>
    </w:p>
    <w:p w:rsidR="0011269D" w:rsidRPr="00C2548D" w:rsidRDefault="00C2548D" w:rsidP="0011269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61</w:t>
      </w:r>
      <w:r>
        <w:rPr>
          <w:noProof/>
        </w:rPr>
        <w:fldChar w:fldCharType="end"/>
      </w:r>
      <w:r w:rsidR="003D03A8" w:rsidRPr="00C2548D">
        <w:rPr>
          <w:lang w:val="fr-FR"/>
        </w:rPr>
        <w:t>.  </w:t>
      </w:r>
      <w:r w:rsidR="0011269D" w:rsidRPr="00C2548D">
        <w:rPr>
          <w:lang w:val="fr-FR"/>
        </w:rPr>
        <w:t xml:space="preserve">La Cour </w:t>
      </w:r>
      <w:r w:rsidR="00101003" w:rsidRPr="00C2548D">
        <w:rPr>
          <w:lang w:val="fr-FR"/>
        </w:rPr>
        <w:t xml:space="preserve">constate </w:t>
      </w:r>
      <w:r w:rsidR="0011269D" w:rsidRPr="00C2548D">
        <w:rPr>
          <w:lang w:val="fr-FR"/>
        </w:rPr>
        <w:t>également que, dans l</w:t>
      </w:r>
      <w:r>
        <w:rPr>
          <w:lang w:val="fr-FR"/>
        </w:rPr>
        <w:t>’</w:t>
      </w:r>
      <w:r w:rsidR="0011269D" w:rsidRPr="00C2548D">
        <w:rPr>
          <w:lang w:val="fr-FR"/>
        </w:rPr>
        <w:t>hypothèse des obligations négatives comme dans celle des obligations positives, l</w:t>
      </w:r>
      <w:r>
        <w:rPr>
          <w:lang w:val="fr-FR"/>
        </w:rPr>
        <w:t>’</w:t>
      </w:r>
      <w:r w:rsidR="0011269D" w:rsidRPr="00C2548D">
        <w:rPr>
          <w:lang w:val="fr-FR"/>
        </w:rPr>
        <w:t>État jouit d</w:t>
      </w:r>
      <w:r>
        <w:rPr>
          <w:lang w:val="fr-FR"/>
        </w:rPr>
        <w:t>’</w:t>
      </w:r>
      <w:r w:rsidR="0011269D" w:rsidRPr="00C2548D">
        <w:rPr>
          <w:lang w:val="fr-FR"/>
        </w:rPr>
        <w:t>une certaine marge d</w:t>
      </w:r>
      <w:r>
        <w:rPr>
          <w:lang w:val="fr-FR"/>
        </w:rPr>
        <w:t>’</w:t>
      </w:r>
      <w:r w:rsidR="0011269D" w:rsidRPr="00C2548D">
        <w:rPr>
          <w:lang w:val="fr-FR"/>
        </w:rPr>
        <w:t xml:space="preserve">appréciation (voir </w:t>
      </w:r>
      <w:bookmarkStart w:id="12" w:name="File454"/>
      <w:bookmarkEnd w:id="12"/>
      <w:r w:rsidR="0011269D" w:rsidRPr="00C2548D">
        <w:rPr>
          <w:i/>
          <w:lang w:val="fr-FR"/>
        </w:rPr>
        <w:t>W. c. Royaume-Uni</w:t>
      </w:r>
      <w:r w:rsidR="0011269D" w:rsidRPr="00C2548D">
        <w:rPr>
          <w:lang w:val="fr-FR"/>
        </w:rPr>
        <w:t xml:space="preserve">, 8 juillet 1987, § 60, série A </w:t>
      </w:r>
      <w:r w:rsidR="006767B6" w:rsidRPr="00C2548D">
        <w:rPr>
          <w:lang w:val="fr-FR"/>
        </w:rPr>
        <w:t>n</w:t>
      </w:r>
      <w:r w:rsidR="006767B6" w:rsidRPr="00C2548D">
        <w:rPr>
          <w:vertAlign w:val="superscript"/>
          <w:lang w:val="fr-FR"/>
        </w:rPr>
        <w:t>o</w:t>
      </w:r>
      <w:r w:rsidR="0011269D" w:rsidRPr="00C2548D">
        <w:rPr>
          <w:lang w:val="fr-FR"/>
        </w:rPr>
        <w:t xml:space="preserve"> 121), qui varie selon la nature des questions en litige et la gravité des intérêts en jeu. En particulier, la Cour exige que des mesures aboutissant à briser les liens entre un enfant et sa famille ne soient appliquées que dans des circonstances exceptionnelles, c</w:t>
      </w:r>
      <w:r>
        <w:rPr>
          <w:lang w:val="fr-FR"/>
        </w:rPr>
        <w:t>’</w:t>
      </w:r>
      <w:r w:rsidR="0011269D" w:rsidRPr="00C2548D">
        <w:rPr>
          <w:lang w:val="fr-FR"/>
        </w:rPr>
        <w:t>est-à-dire uniquement dans les cas où les parents se sont montrés particulièrement indignes (</w:t>
      </w:r>
      <w:r w:rsidR="0011269D" w:rsidRPr="00C2548D">
        <w:rPr>
          <w:i/>
          <w:lang w:val="fr-FR"/>
        </w:rPr>
        <w:t>Clemeno et autres c. Italie</w:t>
      </w:r>
      <w:r w:rsidR="0011269D" w:rsidRPr="00C2548D">
        <w:rPr>
          <w:lang w:val="fr-FR"/>
        </w:rPr>
        <w:t xml:space="preserve">, </w:t>
      </w:r>
      <w:r w:rsidR="006767B6" w:rsidRPr="00C2548D">
        <w:rPr>
          <w:lang w:val="fr-FR"/>
        </w:rPr>
        <w:t>n</w:t>
      </w:r>
      <w:r w:rsidR="006767B6" w:rsidRPr="00C2548D">
        <w:rPr>
          <w:vertAlign w:val="superscript"/>
          <w:lang w:val="fr-FR"/>
        </w:rPr>
        <w:t>o</w:t>
      </w:r>
      <w:r w:rsidR="0011269D" w:rsidRPr="00C2548D">
        <w:rPr>
          <w:lang w:val="fr-FR"/>
        </w:rPr>
        <w:t xml:space="preserve"> </w:t>
      </w:r>
      <w:hyperlink r:id="rId18" w:anchor="{&quot;appno&quot;:[&quot;19537/03&quot;]}" w:tgtFrame="_blank" w:history="1">
        <w:r w:rsidR="0011269D" w:rsidRPr="00C2548D">
          <w:rPr>
            <w:rStyle w:val="Hyperlink"/>
            <w:color w:val="auto"/>
            <w:u w:val="none"/>
            <w:lang w:val="fr-FR"/>
          </w:rPr>
          <w:t>19537/03</w:t>
        </w:r>
      </w:hyperlink>
      <w:r w:rsidR="0011269D" w:rsidRPr="00C2548D">
        <w:rPr>
          <w:lang w:val="fr-FR"/>
        </w:rPr>
        <w:t>, § 60, 21 octobre 2008), ou lorsqu</w:t>
      </w:r>
      <w:r>
        <w:rPr>
          <w:lang w:val="fr-FR"/>
        </w:rPr>
        <w:t>’</w:t>
      </w:r>
      <w:r w:rsidR="0011269D" w:rsidRPr="00C2548D">
        <w:rPr>
          <w:lang w:val="fr-FR"/>
        </w:rPr>
        <w:t>elles sont justifiées par une exigence primordiale touchant l</w:t>
      </w:r>
      <w:r>
        <w:rPr>
          <w:lang w:val="fr-FR"/>
        </w:rPr>
        <w:t>’</w:t>
      </w:r>
      <w:r w:rsidR="0011269D" w:rsidRPr="00C2548D">
        <w:rPr>
          <w:lang w:val="fr-FR"/>
        </w:rPr>
        <w:t>intérêt supérieur de l</w:t>
      </w:r>
      <w:r>
        <w:rPr>
          <w:lang w:val="fr-FR"/>
        </w:rPr>
        <w:t>’</w:t>
      </w:r>
      <w:r w:rsidR="0011269D" w:rsidRPr="00C2548D">
        <w:rPr>
          <w:lang w:val="fr-FR"/>
        </w:rPr>
        <w:t>enfant (</w:t>
      </w:r>
      <w:r w:rsidR="0011269D" w:rsidRPr="00C2548D">
        <w:rPr>
          <w:i/>
          <w:lang w:val="fr-FR"/>
        </w:rPr>
        <w:t>voir Johansen</w:t>
      </w:r>
      <w:r w:rsidR="0011269D" w:rsidRPr="00C2548D">
        <w:rPr>
          <w:lang w:val="fr-FR"/>
        </w:rPr>
        <w:t>, précité, § 84</w:t>
      </w:r>
      <w:r w:rsidR="00B92E1D" w:rsidRPr="00C2548D">
        <w:rPr>
          <w:lang w:val="fr-FR"/>
        </w:rPr>
        <w:t> </w:t>
      </w:r>
      <w:r w:rsidR="0011269D" w:rsidRPr="00C2548D">
        <w:rPr>
          <w:lang w:val="fr-FR"/>
        </w:rPr>
        <w:t xml:space="preserve">; </w:t>
      </w:r>
      <w:r w:rsidR="0011269D" w:rsidRPr="00C2548D">
        <w:rPr>
          <w:i/>
          <w:lang w:val="fr-FR"/>
        </w:rPr>
        <w:t xml:space="preserve">P., C. et S. c. Royaume-Uni, </w:t>
      </w:r>
      <w:r w:rsidR="006767B6" w:rsidRPr="00C2548D">
        <w:rPr>
          <w:lang w:val="fr-FR"/>
        </w:rPr>
        <w:t>n</w:t>
      </w:r>
      <w:r w:rsidR="006767B6" w:rsidRPr="00C2548D">
        <w:rPr>
          <w:vertAlign w:val="superscript"/>
          <w:lang w:val="fr-FR"/>
        </w:rPr>
        <w:t>o</w:t>
      </w:r>
      <w:r w:rsidR="0011269D" w:rsidRPr="00C2548D">
        <w:rPr>
          <w:lang w:val="fr-FR"/>
        </w:rPr>
        <w:t xml:space="preserve"> </w:t>
      </w:r>
      <w:hyperlink r:id="rId19" w:anchor="{&quot;appno&quot;:[&quot;56547/00&quot;]}" w:tgtFrame="_blank" w:history="1">
        <w:r w:rsidR="0011269D" w:rsidRPr="00C2548D">
          <w:rPr>
            <w:rStyle w:val="Hyperlink"/>
            <w:color w:val="auto"/>
            <w:u w:val="none"/>
            <w:lang w:val="fr-FR"/>
          </w:rPr>
          <w:t>56547/00</w:t>
        </w:r>
      </w:hyperlink>
      <w:r w:rsidR="0011269D" w:rsidRPr="00C2548D">
        <w:rPr>
          <w:lang w:val="fr-FR"/>
        </w:rPr>
        <w:t>, § 118, CEDH 2002</w:t>
      </w:r>
      <w:r w:rsidR="0011269D" w:rsidRPr="00C2548D">
        <w:rPr>
          <w:lang w:val="fr-FR"/>
        </w:rPr>
        <w:noBreakHyphen/>
        <w:t>VI). Cette approche peut toutefois être écartée en raison de la nature de la relation parent-enfant, lorsque le lien est très limité (</w:t>
      </w:r>
      <w:r w:rsidR="0011269D" w:rsidRPr="00C2548D">
        <w:rPr>
          <w:i/>
          <w:lang w:val="fr-FR"/>
        </w:rPr>
        <w:t>Söderbäck c.</w:t>
      </w:r>
      <w:r w:rsidR="009F21FF" w:rsidRPr="00C2548D">
        <w:rPr>
          <w:lang w:val="fr-FR"/>
        </w:rPr>
        <w:t> </w:t>
      </w:r>
      <w:r w:rsidR="0011269D" w:rsidRPr="00C2548D">
        <w:rPr>
          <w:i/>
          <w:lang w:val="fr-FR"/>
        </w:rPr>
        <w:t>Suède</w:t>
      </w:r>
      <w:r w:rsidR="0011269D" w:rsidRPr="00C2548D">
        <w:rPr>
          <w:lang w:val="fr-FR"/>
        </w:rPr>
        <w:t>, 28 octobre 1998, §§ 30-34, Recueil 1998</w:t>
      </w:r>
      <w:r w:rsidR="0011269D" w:rsidRPr="00C2548D">
        <w:rPr>
          <w:lang w:val="fr-FR"/>
        </w:rPr>
        <w:noBreakHyphen/>
        <w:t>VII).</w:t>
      </w:r>
    </w:p>
    <w:p w:rsidR="0011269D" w:rsidRPr="00C2548D" w:rsidRDefault="00C2548D" w:rsidP="0011269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62</w:t>
      </w:r>
      <w:r>
        <w:rPr>
          <w:noProof/>
        </w:rPr>
        <w:fldChar w:fldCharType="end"/>
      </w:r>
      <w:r w:rsidR="003D03A8" w:rsidRPr="00C2548D">
        <w:rPr>
          <w:lang w:val="fr-FR"/>
        </w:rPr>
        <w:t>.  </w:t>
      </w:r>
      <w:r w:rsidR="0011269D" w:rsidRPr="00C2548D">
        <w:rPr>
          <w:lang w:val="fr-FR"/>
        </w:rPr>
        <w:t>Il appartient à chaque État contractant de se doter d</w:t>
      </w:r>
      <w:r>
        <w:rPr>
          <w:lang w:val="fr-FR"/>
        </w:rPr>
        <w:t>’</w:t>
      </w:r>
      <w:r w:rsidR="0011269D" w:rsidRPr="00C2548D">
        <w:rPr>
          <w:lang w:val="fr-FR"/>
        </w:rPr>
        <w:t xml:space="preserve">un arsenal juridique adéquat et suffisant pour assurer le respect </w:t>
      </w:r>
      <w:r w:rsidR="00C30E5C" w:rsidRPr="00C2548D">
        <w:rPr>
          <w:lang w:val="fr-FR"/>
        </w:rPr>
        <w:t>des</w:t>
      </w:r>
      <w:r w:rsidR="0011269D" w:rsidRPr="00C2548D">
        <w:rPr>
          <w:lang w:val="fr-FR"/>
        </w:rPr>
        <w:t xml:space="preserve"> obligations positives qui lui incombent en vertu de l</w:t>
      </w:r>
      <w:r>
        <w:rPr>
          <w:lang w:val="fr-FR"/>
        </w:rPr>
        <w:t>’</w:t>
      </w:r>
      <w:r w:rsidR="0011269D" w:rsidRPr="00C2548D">
        <w:rPr>
          <w:lang w:val="fr-FR"/>
        </w:rPr>
        <w:t>article 8 de la Convention et à la Cour de rechercher si, dans l</w:t>
      </w:r>
      <w:r>
        <w:rPr>
          <w:lang w:val="fr-FR"/>
        </w:rPr>
        <w:t>’</w:t>
      </w:r>
      <w:r w:rsidR="0011269D" w:rsidRPr="00C2548D">
        <w:rPr>
          <w:lang w:val="fr-FR"/>
        </w:rPr>
        <w:t>application et l</w:t>
      </w:r>
      <w:r>
        <w:rPr>
          <w:lang w:val="fr-FR"/>
        </w:rPr>
        <w:t>’</w:t>
      </w:r>
      <w:r w:rsidR="0011269D" w:rsidRPr="00C2548D">
        <w:rPr>
          <w:lang w:val="fr-FR"/>
        </w:rPr>
        <w:t xml:space="preserve">interprétation des dispositions légales applicables, les autorités internes ont respecté les garanties </w:t>
      </w:r>
      <w:r w:rsidR="00C30E5C" w:rsidRPr="00C2548D">
        <w:rPr>
          <w:lang w:val="fr-FR"/>
        </w:rPr>
        <w:t xml:space="preserve">voulues par </w:t>
      </w:r>
      <w:r w:rsidR="0011269D" w:rsidRPr="00C2548D">
        <w:rPr>
          <w:lang w:val="fr-FR"/>
        </w:rPr>
        <w:t>l</w:t>
      </w:r>
      <w:r>
        <w:rPr>
          <w:lang w:val="fr-FR"/>
        </w:rPr>
        <w:t>’</w:t>
      </w:r>
      <w:r w:rsidR="0011269D" w:rsidRPr="00C2548D">
        <w:rPr>
          <w:lang w:val="fr-FR"/>
        </w:rPr>
        <w:t>article 8, en tenant notamment compte de l</w:t>
      </w:r>
      <w:r>
        <w:rPr>
          <w:lang w:val="fr-FR"/>
        </w:rPr>
        <w:t>’</w:t>
      </w:r>
      <w:r w:rsidR="0011269D" w:rsidRPr="00C2548D">
        <w:rPr>
          <w:lang w:val="fr-FR"/>
        </w:rPr>
        <w:t>intérêt supérieur de l</w:t>
      </w:r>
      <w:r>
        <w:rPr>
          <w:lang w:val="fr-FR"/>
        </w:rPr>
        <w:t>’</w:t>
      </w:r>
      <w:r w:rsidR="0011269D" w:rsidRPr="00C2548D">
        <w:rPr>
          <w:lang w:val="fr-FR"/>
        </w:rPr>
        <w:t xml:space="preserve">enfant (voir, mutatis mutandis, </w:t>
      </w:r>
      <w:r w:rsidR="0011269D" w:rsidRPr="00C2548D">
        <w:rPr>
          <w:i/>
          <w:lang w:val="fr-FR"/>
        </w:rPr>
        <w:t>Neulinger et Shuruk c. Suisse</w:t>
      </w:r>
      <w:r w:rsidR="0011269D" w:rsidRPr="00C2548D">
        <w:rPr>
          <w:lang w:val="fr-FR"/>
        </w:rPr>
        <w:t xml:space="preserve"> [GC], </w:t>
      </w:r>
      <w:r w:rsidR="006767B6" w:rsidRPr="00C2548D">
        <w:rPr>
          <w:lang w:val="fr-FR"/>
        </w:rPr>
        <w:t>n</w:t>
      </w:r>
      <w:r w:rsidR="006767B6" w:rsidRPr="00C2548D">
        <w:rPr>
          <w:vertAlign w:val="superscript"/>
          <w:lang w:val="fr-FR"/>
        </w:rPr>
        <w:t>o</w:t>
      </w:r>
      <w:r w:rsidR="009F21FF" w:rsidRPr="00C2548D">
        <w:rPr>
          <w:lang w:val="fr-FR"/>
        </w:rPr>
        <w:t> </w:t>
      </w:r>
      <w:hyperlink r:id="rId20" w:anchor="{&quot;appno&quot;:[&quot;41615/07&quot;]}" w:tgtFrame="_blank" w:history="1">
        <w:r w:rsidR="0011269D" w:rsidRPr="00C2548D">
          <w:rPr>
            <w:rStyle w:val="Hyperlink"/>
            <w:color w:val="auto"/>
            <w:u w:val="none"/>
            <w:lang w:val="fr-FR"/>
          </w:rPr>
          <w:t>41615/07</w:t>
        </w:r>
      </w:hyperlink>
      <w:r w:rsidR="0011269D" w:rsidRPr="00C2548D">
        <w:rPr>
          <w:lang w:val="fr-FR"/>
        </w:rPr>
        <w:t>, §</w:t>
      </w:r>
      <w:r w:rsidR="007D5CCA" w:rsidRPr="00C2548D">
        <w:rPr>
          <w:lang w:val="fr-FR"/>
        </w:rPr>
        <w:t> </w:t>
      </w:r>
      <w:r w:rsidR="0011269D" w:rsidRPr="00C2548D">
        <w:rPr>
          <w:lang w:val="fr-FR"/>
        </w:rPr>
        <w:t xml:space="preserve">141, CEDH 2010, </w:t>
      </w:r>
      <w:r w:rsidR="0011269D" w:rsidRPr="00C2548D">
        <w:rPr>
          <w:i/>
          <w:lang w:val="fr-FR"/>
        </w:rPr>
        <w:t>K.A.B. c. Espagne</w:t>
      </w:r>
      <w:r w:rsidR="0011269D" w:rsidRPr="00C2548D">
        <w:rPr>
          <w:lang w:val="fr-FR"/>
        </w:rPr>
        <w:t xml:space="preserve">, </w:t>
      </w:r>
      <w:r w:rsidR="006767B6" w:rsidRPr="00C2548D">
        <w:rPr>
          <w:lang w:val="fr-FR"/>
        </w:rPr>
        <w:t>n</w:t>
      </w:r>
      <w:r w:rsidR="006767B6" w:rsidRPr="00C2548D">
        <w:rPr>
          <w:vertAlign w:val="superscript"/>
          <w:lang w:val="fr-FR"/>
        </w:rPr>
        <w:t>o</w:t>
      </w:r>
      <w:r w:rsidR="0011269D" w:rsidRPr="00C2548D">
        <w:rPr>
          <w:lang w:val="fr-FR"/>
        </w:rPr>
        <w:t xml:space="preserve"> </w:t>
      </w:r>
      <w:hyperlink r:id="rId21" w:anchor="{&quot;appno&quot;:[&quot;59819/08&quot;]}" w:tgtFrame="_blank" w:history="1">
        <w:r w:rsidR="0011269D" w:rsidRPr="00C2548D">
          <w:rPr>
            <w:rStyle w:val="Hyperlink"/>
            <w:color w:val="auto"/>
            <w:u w:val="none"/>
            <w:lang w:val="fr-FR"/>
          </w:rPr>
          <w:t>59819/08</w:t>
        </w:r>
      </w:hyperlink>
      <w:r w:rsidR="0011269D" w:rsidRPr="00C2548D">
        <w:rPr>
          <w:lang w:val="fr-FR"/>
        </w:rPr>
        <w:t>, § 115, 10 avril 2012).</w:t>
      </w:r>
    </w:p>
    <w:p w:rsidR="0011269D" w:rsidRPr="000E6D7E" w:rsidRDefault="00C2548D" w:rsidP="0011269D">
      <w:pPr>
        <w:pStyle w:val="ECHRPara"/>
        <w:rPr>
          <w:i/>
          <w:lang w:val="fr-FR"/>
        </w:rPr>
      </w:pPr>
      <w:r>
        <w:fldChar w:fldCharType="begin"/>
      </w:r>
      <w:r w:rsidRPr="00C2548D">
        <w:rPr>
          <w:lang w:val="fr-FR"/>
        </w:rPr>
        <w:instrText xml:space="preserve"> SEQ level0 \*arabic </w:instrText>
      </w:r>
      <w:r>
        <w:fldChar w:fldCharType="separate"/>
      </w:r>
      <w:r w:rsidR="00205039" w:rsidRPr="00C2548D">
        <w:rPr>
          <w:noProof/>
          <w:lang w:val="fr-FR"/>
        </w:rPr>
        <w:t>63</w:t>
      </w:r>
      <w:r>
        <w:rPr>
          <w:noProof/>
        </w:rPr>
        <w:fldChar w:fldCharType="end"/>
      </w:r>
      <w:r w:rsidR="003D03A8" w:rsidRPr="00C2548D">
        <w:rPr>
          <w:lang w:val="fr-FR"/>
        </w:rPr>
        <w:t>.  </w:t>
      </w:r>
      <w:r w:rsidR="0011269D" w:rsidRPr="00C2548D">
        <w:rPr>
          <w:lang w:val="fr-FR"/>
        </w:rPr>
        <w:t>À cet égard et s</w:t>
      </w:r>
      <w:r>
        <w:rPr>
          <w:lang w:val="fr-FR"/>
        </w:rPr>
        <w:t>’</w:t>
      </w:r>
      <w:r w:rsidR="0011269D" w:rsidRPr="00C2548D">
        <w:rPr>
          <w:lang w:val="fr-FR"/>
        </w:rPr>
        <w:t>agissant de l</w:t>
      </w:r>
      <w:r>
        <w:rPr>
          <w:lang w:val="fr-FR"/>
        </w:rPr>
        <w:t>’</w:t>
      </w:r>
      <w:r w:rsidR="0011269D" w:rsidRPr="00C2548D">
        <w:rPr>
          <w:lang w:val="fr-FR"/>
        </w:rPr>
        <w:t>obligation pour l</w:t>
      </w:r>
      <w:r>
        <w:rPr>
          <w:lang w:val="fr-FR"/>
        </w:rPr>
        <w:t>’</w:t>
      </w:r>
      <w:r w:rsidR="0011269D" w:rsidRPr="00C2548D">
        <w:rPr>
          <w:lang w:val="fr-FR"/>
        </w:rPr>
        <w:t>État d</w:t>
      </w:r>
      <w:r>
        <w:rPr>
          <w:lang w:val="fr-FR"/>
        </w:rPr>
        <w:t>’</w:t>
      </w:r>
      <w:r w:rsidR="0011269D" w:rsidRPr="00C2548D">
        <w:rPr>
          <w:lang w:val="fr-FR"/>
        </w:rPr>
        <w:t>arrêter des mesures positives, la Cour n</w:t>
      </w:r>
      <w:r>
        <w:rPr>
          <w:lang w:val="fr-FR"/>
        </w:rPr>
        <w:t>’</w:t>
      </w:r>
      <w:r w:rsidR="0011269D" w:rsidRPr="00C2548D">
        <w:rPr>
          <w:lang w:val="fr-FR"/>
        </w:rPr>
        <w:t>a cessé de dire que l</w:t>
      </w:r>
      <w:r>
        <w:rPr>
          <w:lang w:val="fr-FR"/>
        </w:rPr>
        <w:t>’</w:t>
      </w:r>
      <w:r w:rsidR="0011269D" w:rsidRPr="00C2548D">
        <w:rPr>
          <w:lang w:val="fr-FR"/>
        </w:rPr>
        <w:t>article 8 implique le droit pour un parent à des mesures propres à le réunir avec son enfant et l</w:t>
      </w:r>
      <w:r>
        <w:rPr>
          <w:lang w:val="fr-FR"/>
        </w:rPr>
        <w:t>’</w:t>
      </w:r>
      <w:r w:rsidR="0011269D" w:rsidRPr="00C2548D">
        <w:rPr>
          <w:lang w:val="fr-FR"/>
        </w:rPr>
        <w:t xml:space="preserve">obligation pour les autorités nationales de les prendre (voir, par exemple, </w:t>
      </w:r>
      <w:r w:rsidR="0011269D" w:rsidRPr="00C2548D">
        <w:rPr>
          <w:i/>
          <w:lang w:val="fr-FR"/>
        </w:rPr>
        <w:t xml:space="preserve">Eriksson, </w:t>
      </w:r>
      <w:r w:rsidR="0011269D" w:rsidRPr="00C2548D">
        <w:rPr>
          <w:lang w:val="fr-FR"/>
        </w:rPr>
        <w:t xml:space="preserve">§ 71, série A </w:t>
      </w:r>
      <w:r w:rsidR="006767B6" w:rsidRPr="00C2548D">
        <w:rPr>
          <w:lang w:val="fr-FR"/>
        </w:rPr>
        <w:t>n</w:t>
      </w:r>
      <w:r w:rsidR="006767B6" w:rsidRPr="00C2548D">
        <w:rPr>
          <w:vertAlign w:val="superscript"/>
          <w:lang w:val="fr-FR"/>
        </w:rPr>
        <w:t>o</w:t>
      </w:r>
      <w:r w:rsidR="0011269D" w:rsidRPr="00C2548D">
        <w:rPr>
          <w:lang w:val="fr-FR"/>
        </w:rPr>
        <w:t xml:space="preserve"> 156, et </w:t>
      </w:r>
      <w:r w:rsidR="0011269D" w:rsidRPr="00C2548D">
        <w:rPr>
          <w:i/>
          <w:lang w:val="fr-FR"/>
        </w:rPr>
        <w:t>Margareta et Roger Andersson c. Suède,</w:t>
      </w:r>
      <w:r w:rsidR="0011269D" w:rsidRPr="00C2548D">
        <w:rPr>
          <w:lang w:val="fr-FR"/>
        </w:rPr>
        <w:t xml:space="preserve"> 25</w:t>
      </w:r>
      <w:r w:rsidR="009F21FF" w:rsidRPr="00C2548D">
        <w:rPr>
          <w:lang w:val="fr-FR"/>
        </w:rPr>
        <w:t> </w:t>
      </w:r>
      <w:r w:rsidR="0011269D" w:rsidRPr="00C2548D">
        <w:rPr>
          <w:lang w:val="fr-FR"/>
        </w:rPr>
        <w:t xml:space="preserve">février 1992, § 91, série A </w:t>
      </w:r>
      <w:r w:rsidR="006767B6" w:rsidRPr="00C2548D">
        <w:rPr>
          <w:lang w:val="fr-FR"/>
        </w:rPr>
        <w:t>n</w:t>
      </w:r>
      <w:r w:rsidR="006767B6" w:rsidRPr="00C2548D">
        <w:rPr>
          <w:vertAlign w:val="superscript"/>
          <w:lang w:val="fr-FR"/>
        </w:rPr>
        <w:t>o</w:t>
      </w:r>
      <w:r w:rsidR="0011269D" w:rsidRPr="00C2548D">
        <w:rPr>
          <w:lang w:val="fr-FR"/>
        </w:rPr>
        <w:t xml:space="preserve"> 226-A</w:t>
      </w:r>
      <w:r w:rsidR="003E1600" w:rsidRPr="00C2548D">
        <w:rPr>
          <w:lang w:val="fr-FR"/>
        </w:rPr>
        <w:t xml:space="preserve"> ; </w:t>
      </w:r>
      <w:r w:rsidR="003E1600" w:rsidRPr="00C2548D">
        <w:rPr>
          <w:i/>
          <w:lang w:val="fr-FR"/>
        </w:rPr>
        <w:t>P.F.</w:t>
      </w:r>
      <w:r w:rsidR="003E1600" w:rsidRPr="00C2548D">
        <w:rPr>
          <w:lang w:val="fr-FR"/>
        </w:rPr>
        <w:t xml:space="preserve"> </w:t>
      </w:r>
      <w:r w:rsidR="003E1600" w:rsidRPr="00C2548D">
        <w:rPr>
          <w:i/>
          <w:lang w:val="fr-FR"/>
        </w:rPr>
        <w:t>c. Pologne</w:t>
      </w:r>
      <w:r w:rsidR="003E1600" w:rsidRPr="00C2548D">
        <w:rPr>
          <w:snapToGrid w:val="0"/>
          <w:lang w:val="fr-FR"/>
        </w:rPr>
        <w:t xml:space="preserve">, </w:t>
      </w:r>
      <w:r w:rsidR="003E1600" w:rsidRPr="00C2548D">
        <w:rPr>
          <w:lang w:val="fr-FR"/>
        </w:rPr>
        <w:t>n</w:t>
      </w:r>
      <w:r w:rsidR="003E1600" w:rsidRPr="00C2548D">
        <w:rPr>
          <w:vertAlign w:val="superscript"/>
          <w:lang w:val="fr-FR"/>
        </w:rPr>
        <w:t>o</w:t>
      </w:r>
      <w:r w:rsidR="003E1600" w:rsidRPr="00C2548D">
        <w:rPr>
          <w:lang w:val="fr-FR"/>
        </w:rPr>
        <w:t xml:space="preserve"> 2210/12</w:t>
      </w:r>
      <w:r w:rsidR="003E1600" w:rsidRPr="00C2548D">
        <w:rPr>
          <w:snapToGrid w:val="0"/>
          <w:lang w:val="fr-FR"/>
        </w:rPr>
        <w:t>, § 55, 16</w:t>
      </w:r>
      <w:r w:rsidR="009F21FF" w:rsidRPr="00C2548D">
        <w:rPr>
          <w:lang w:val="fr-FR"/>
        </w:rPr>
        <w:t> </w:t>
      </w:r>
      <w:r w:rsidR="003E1600" w:rsidRPr="00C2548D">
        <w:rPr>
          <w:lang w:val="fr-FR"/>
        </w:rPr>
        <w:t>septembre</w:t>
      </w:r>
      <w:r w:rsidR="003E1600" w:rsidRPr="00C2548D">
        <w:rPr>
          <w:snapToGrid w:val="0"/>
          <w:lang w:val="fr-FR"/>
        </w:rPr>
        <w:t xml:space="preserve"> 2014</w:t>
      </w:r>
      <w:r w:rsidR="0011269D" w:rsidRPr="00C2548D">
        <w:rPr>
          <w:lang w:val="fr-FR"/>
        </w:rPr>
        <w:t xml:space="preserve">). </w:t>
      </w:r>
      <w:r w:rsidR="0011269D" w:rsidRPr="000E6D7E">
        <w:rPr>
          <w:lang w:val="fr-FR"/>
        </w:rPr>
        <w:t>Dans ce genre d</w:t>
      </w:r>
      <w:r>
        <w:rPr>
          <w:lang w:val="fr-FR"/>
        </w:rPr>
        <w:t>’</w:t>
      </w:r>
      <w:r w:rsidR="0011269D" w:rsidRPr="000E6D7E">
        <w:rPr>
          <w:lang w:val="fr-FR"/>
        </w:rPr>
        <w:t>affaire, le caractère adéquat d</w:t>
      </w:r>
      <w:r>
        <w:rPr>
          <w:lang w:val="fr-FR"/>
        </w:rPr>
        <w:t>’</w:t>
      </w:r>
      <w:r w:rsidR="0011269D" w:rsidRPr="000E6D7E">
        <w:rPr>
          <w:lang w:val="fr-FR"/>
        </w:rPr>
        <w:t>une mesure se juge à la rapidité de sa mise en œuvre (</w:t>
      </w:r>
      <w:r w:rsidR="000E6D7E" w:rsidRPr="000E6D7E">
        <w:rPr>
          <w:i/>
          <w:lang w:val="fr-FR"/>
        </w:rPr>
        <w:t>Maumousseau et </w:t>
      </w:r>
      <w:r w:rsidR="0011269D" w:rsidRPr="000E6D7E">
        <w:rPr>
          <w:i/>
          <w:lang w:val="fr-FR"/>
        </w:rPr>
        <w:t>Washington c. France</w:t>
      </w:r>
      <w:r w:rsidR="0011269D" w:rsidRPr="000E6D7E">
        <w:rPr>
          <w:lang w:val="fr-FR"/>
        </w:rPr>
        <w:t xml:space="preserve">, </w:t>
      </w:r>
      <w:r w:rsidR="006767B6" w:rsidRPr="000E6D7E">
        <w:rPr>
          <w:lang w:val="fr-FR"/>
        </w:rPr>
        <w:t>n</w:t>
      </w:r>
      <w:r w:rsidR="006767B6" w:rsidRPr="000E6D7E">
        <w:rPr>
          <w:vertAlign w:val="superscript"/>
          <w:lang w:val="fr-FR"/>
        </w:rPr>
        <w:t>o</w:t>
      </w:r>
      <w:r w:rsidR="0011269D" w:rsidRPr="000E6D7E">
        <w:rPr>
          <w:lang w:val="fr-FR"/>
        </w:rPr>
        <w:t xml:space="preserve"> </w:t>
      </w:r>
      <w:hyperlink r:id="rId22" w:anchor="{&quot;appno&quot;:[&quot;39388/05&quot;]}" w:tgtFrame="_blank" w:history="1">
        <w:r w:rsidR="0011269D" w:rsidRPr="000E6D7E">
          <w:rPr>
            <w:rStyle w:val="Hyperlink"/>
            <w:color w:val="auto"/>
            <w:u w:val="none"/>
            <w:lang w:val="fr-FR"/>
          </w:rPr>
          <w:t>39388/05</w:t>
        </w:r>
      </w:hyperlink>
      <w:r w:rsidR="0011269D" w:rsidRPr="000E6D7E">
        <w:rPr>
          <w:lang w:val="fr-FR"/>
        </w:rPr>
        <w:t>, § 83, 6 décembre 2007</w:t>
      </w:r>
      <w:r w:rsidR="00E32A30" w:rsidRPr="000E6D7E">
        <w:rPr>
          <w:lang w:val="fr-FR"/>
        </w:rPr>
        <w:t xml:space="preserve"> ; </w:t>
      </w:r>
      <w:r w:rsidR="000E6D7E">
        <w:rPr>
          <w:i/>
          <w:lang w:val="fr-FR"/>
        </w:rPr>
        <w:t>Zhou c. </w:t>
      </w:r>
      <w:r w:rsidR="00EA02C7" w:rsidRPr="000E6D7E">
        <w:rPr>
          <w:i/>
          <w:lang w:val="fr-FR"/>
        </w:rPr>
        <w:t>Italie</w:t>
      </w:r>
      <w:r w:rsidR="00EA02C7" w:rsidRPr="000E6D7E">
        <w:rPr>
          <w:snapToGrid w:val="0"/>
          <w:lang w:val="fr-FR"/>
        </w:rPr>
        <w:t xml:space="preserve">, </w:t>
      </w:r>
      <w:r w:rsidR="001A6D9D" w:rsidRPr="000E6D7E">
        <w:rPr>
          <w:lang w:val="fr-FR"/>
        </w:rPr>
        <w:t>précité</w:t>
      </w:r>
      <w:r w:rsidR="00EA02C7" w:rsidRPr="000E6D7E">
        <w:rPr>
          <w:lang w:val="fr-FR"/>
        </w:rPr>
        <w:t>, § 48</w:t>
      </w:r>
      <w:r w:rsidR="0011269D" w:rsidRPr="000E6D7E">
        <w:rPr>
          <w:lang w:val="fr-FR"/>
        </w:rPr>
        <w:t>).</w:t>
      </w:r>
    </w:p>
    <w:p w:rsidR="00B40069" w:rsidRPr="00C2548D" w:rsidRDefault="00B40069" w:rsidP="00B40069">
      <w:pPr>
        <w:pStyle w:val="ECHRHeading4"/>
        <w:rPr>
          <w:lang w:val="fr-FR"/>
        </w:rPr>
      </w:pPr>
      <w:r w:rsidRPr="00C2548D">
        <w:rPr>
          <w:lang w:val="fr-FR"/>
        </w:rPr>
        <w:t>b)</w:t>
      </w:r>
      <w:r w:rsidR="009F21FF" w:rsidRPr="00C2548D">
        <w:rPr>
          <w:lang w:val="fr-FR"/>
        </w:rPr>
        <w:t>  </w:t>
      </w:r>
      <w:r w:rsidRPr="00C2548D">
        <w:rPr>
          <w:lang w:val="fr-FR"/>
        </w:rPr>
        <w:t>Application de ces principes</w:t>
      </w:r>
    </w:p>
    <w:p w:rsidR="00EE7AA0"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64</w:t>
      </w:r>
      <w:r>
        <w:rPr>
          <w:noProof/>
        </w:rPr>
        <w:fldChar w:fldCharType="end"/>
      </w:r>
      <w:r w:rsidR="003D03A8" w:rsidRPr="00C2548D">
        <w:rPr>
          <w:lang w:val="fr-FR"/>
        </w:rPr>
        <w:t>.  </w:t>
      </w:r>
      <w:r w:rsidR="00EE7AA0" w:rsidRPr="00C2548D">
        <w:rPr>
          <w:lang w:val="fr-FR"/>
        </w:rPr>
        <w:t>La Cour considère que le point décisif en l</w:t>
      </w:r>
      <w:r>
        <w:rPr>
          <w:lang w:val="fr-FR"/>
        </w:rPr>
        <w:t>’</w:t>
      </w:r>
      <w:r w:rsidR="00EE7AA0" w:rsidRPr="00C2548D">
        <w:rPr>
          <w:lang w:val="fr-FR"/>
        </w:rPr>
        <w:t>espèce consiste donc à savoir si, avant de supprimer le lien de filiation</w:t>
      </w:r>
      <w:r w:rsidR="00C30E5C" w:rsidRPr="00C2548D">
        <w:rPr>
          <w:lang w:val="fr-FR"/>
        </w:rPr>
        <w:t>,</w:t>
      </w:r>
      <w:r w:rsidR="00EE7AA0" w:rsidRPr="00C2548D">
        <w:rPr>
          <w:lang w:val="fr-FR"/>
        </w:rPr>
        <w:t xml:space="preserve"> les autorités nationales ont pris toutes les mesures nécessaires et adéquates que l</w:t>
      </w:r>
      <w:r>
        <w:rPr>
          <w:lang w:val="fr-FR"/>
        </w:rPr>
        <w:t>’</w:t>
      </w:r>
      <w:r w:rsidR="00EE7AA0" w:rsidRPr="00C2548D">
        <w:rPr>
          <w:lang w:val="fr-FR"/>
        </w:rPr>
        <w:t>on pouvait raisonnablement exiger d</w:t>
      </w:r>
      <w:r>
        <w:rPr>
          <w:lang w:val="fr-FR"/>
        </w:rPr>
        <w:t>’</w:t>
      </w:r>
      <w:r w:rsidR="00EE7AA0" w:rsidRPr="00C2548D">
        <w:rPr>
          <w:lang w:val="fr-FR"/>
        </w:rPr>
        <w:t>elles pour que l</w:t>
      </w:r>
      <w:r>
        <w:rPr>
          <w:lang w:val="fr-FR"/>
        </w:rPr>
        <w:t>’</w:t>
      </w:r>
      <w:r w:rsidR="00EE7AA0" w:rsidRPr="00C2548D">
        <w:rPr>
          <w:lang w:val="fr-FR"/>
        </w:rPr>
        <w:t xml:space="preserve">enfant puisse mener une vie familiale normale </w:t>
      </w:r>
      <w:r w:rsidR="003D03A8" w:rsidRPr="00C2548D">
        <w:rPr>
          <w:lang w:val="fr-FR"/>
        </w:rPr>
        <w:t>avec son père</w:t>
      </w:r>
      <w:r w:rsidR="00EE7AA0" w:rsidRPr="00C2548D">
        <w:rPr>
          <w:lang w:val="fr-FR"/>
        </w:rPr>
        <w:t>.</w:t>
      </w:r>
    </w:p>
    <w:p w:rsidR="003E1600"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65</w:t>
      </w:r>
      <w:r>
        <w:rPr>
          <w:noProof/>
        </w:rPr>
        <w:fldChar w:fldCharType="end"/>
      </w:r>
      <w:r w:rsidR="003E1600" w:rsidRPr="00C2548D">
        <w:rPr>
          <w:lang w:val="fr-FR"/>
        </w:rPr>
        <w:t>.  La Cour rappelle qu</w:t>
      </w:r>
      <w:r>
        <w:rPr>
          <w:lang w:val="fr-FR"/>
        </w:rPr>
        <w:t>’</w:t>
      </w:r>
      <w:r w:rsidR="003E1600" w:rsidRPr="00C2548D">
        <w:rPr>
          <w:lang w:val="fr-FR"/>
        </w:rPr>
        <w:t>il existe un large consensus – y compris en droit international – autour de l</w:t>
      </w:r>
      <w:r>
        <w:rPr>
          <w:lang w:val="fr-FR"/>
        </w:rPr>
        <w:t>’</w:t>
      </w:r>
      <w:r w:rsidR="003E1600" w:rsidRPr="00C2548D">
        <w:rPr>
          <w:lang w:val="fr-FR"/>
        </w:rPr>
        <w:t>idée que dans toutes les décisions concernant des enfants, leur intérêt supérieur doit primer (</w:t>
      </w:r>
      <w:r w:rsidR="003E1600" w:rsidRPr="00C2548D">
        <w:rPr>
          <w:i/>
          <w:lang w:val="fr-FR"/>
        </w:rPr>
        <w:t xml:space="preserve">Neulinger et Shuruk, </w:t>
      </w:r>
      <w:r w:rsidR="006767B6" w:rsidRPr="00C2548D">
        <w:rPr>
          <w:lang w:val="fr-FR"/>
        </w:rPr>
        <w:t>précité, §</w:t>
      </w:r>
      <w:r w:rsidR="007D5CCA" w:rsidRPr="00C2548D">
        <w:rPr>
          <w:lang w:val="fr-FR"/>
        </w:rPr>
        <w:t> </w:t>
      </w:r>
      <w:r w:rsidR="00101003" w:rsidRPr="00C2548D">
        <w:rPr>
          <w:lang w:val="fr-FR"/>
        </w:rPr>
        <w:t>135</w:t>
      </w:r>
      <w:r w:rsidR="003E1600" w:rsidRPr="00C2548D">
        <w:rPr>
          <w:lang w:val="fr-FR"/>
        </w:rPr>
        <w:t>).</w:t>
      </w:r>
    </w:p>
    <w:p w:rsidR="003D03A8"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66</w:t>
      </w:r>
      <w:r>
        <w:rPr>
          <w:noProof/>
        </w:rPr>
        <w:fldChar w:fldCharType="end"/>
      </w:r>
      <w:r w:rsidR="003D03A8" w:rsidRPr="00C2548D">
        <w:rPr>
          <w:lang w:val="fr-FR"/>
        </w:rPr>
        <w:t>.  </w:t>
      </w:r>
      <w:r w:rsidR="00EE7AA0" w:rsidRPr="00C2548D">
        <w:rPr>
          <w:lang w:val="fr-FR"/>
        </w:rPr>
        <w:t xml:space="preserve">La Cour note que les autorités italiennes ont pris en charge </w:t>
      </w:r>
      <w:r w:rsidR="003D03A8" w:rsidRPr="00C2548D">
        <w:rPr>
          <w:lang w:val="fr-FR"/>
        </w:rPr>
        <w:t>le requérant</w:t>
      </w:r>
      <w:r w:rsidR="00EE7AA0" w:rsidRPr="00C2548D">
        <w:rPr>
          <w:lang w:val="fr-FR"/>
        </w:rPr>
        <w:t xml:space="preserve"> et </w:t>
      </w:r>
      <w:r w:rsidR="003E1600" w:rsidRPr="00C2548D">
        <w:rPr>
          <w:lang w:val="fr-FR"/>
        </w:rPr>
        <w:t>sa fille</w:t>
      </w:r>
      <w:r w:rsidR="00EE7AA0" w:rsidRPr="00C2548D">
        <w:rPr>
          <w:lang w:val="fr-FR"/>
        </w:rPr>
        <w:t xml:space="preserve"> depuis </w:t>
      </w:r>
      <w:r w:rsidR="003E1600" w:rsidRPr="00C2548D">
        <w:rPr>
          <w:lang w:val="fr-FR"/>
        </w:rPr>
        <w:t xml:space="preserve">leur </w:t>
      </w:r>
      <w:r w:rsidR="003D03A8" w:rsidRPr="00C2548D">
        <w:rPr>
          <w:lang w:val="fr-FR"/>
        </w:rPr>
        <w:t>arrivé</w:t>
      </w:r>
      <w:r w:rsidR="008C7378" w:rsidRPr="00C2548D">
        <w:rPr>
          <w:lang w:val="fr-FR"/>
        </w:rPr>
        <w:t>e</w:t>
      </w:r>
      <w:r w:rsidR="003D03A8" w:rsidRPr="00C2548D">
        <w:rPr>
          <w:lang w:val="fr-FR"/>
        </w:rPr>
        <w:t xml:space="preserve"> en Italie par bateau</w:t>
      </w:r>
      <w:r w:rsidR="00EE7AA0" w:rsidRPr="00C2548D">
        <w:rPr>
          <w:lang w:val="fr-FR"/>
        </w:rPr>
        <w:t>.</w:t>
      </w:r>
    </w:p>
    <w:p w:rsidR="003442AD" w:rsidRPr="00C2548D" w:rsidRDefault="008C7378" w:rsidP="009D4574">
      <w:pPr>
        <w:pStyle w:val="ECHRPara"/>
        <w:rPr>
          <w:lang w:val="fr-FR"/>
        </w:rPr>
      </w:pPr>
      <w:r w:rsidRPr="00C2548D">
        <w:rPr>
          <w:lang w:val="fr-FR"/>
        </w:rPr>
        <w:t>À</w:t>
      </w:r>
      <w:r w:rsidR="003D03A8" w:rsidRPr="00C2548D">
        <w:rPr>
          <w:lang w:val="fr-FR"/>
        </w:rPr>
        <w:t xml:space="preserve"> cet égard, la Cour ne</w:t>
      </w:r>
      <w:r w:rsidR="006A6BE6" w:rsidRPr="00C2548D">
        <w:rPr>
          <w:lang w:val="fr-FR"/>
        </w:rPr>
        <w:t xml:space="preserve"> peut </w:t>
      </w:r>
      <w:r w:rsidR="009D4574" w:rsidRPr="00C2548D">
        <w:rPr>
          <w:lang w:val="fr-FR"/>
        </w:rPr>
        <w:t xml:space="preserve">pas </w:t>
      </w:r>
      <w:r w:rsidR="00C7161E" w:rsidRPr="00C2548D">
        <w:rPr>
          <w:lang w:val="fr-FR"/>
        </w:rPr>
        <w:t>prendre en compte</w:t>
      </w:r>
      <w:r w:rsidR="009D4574" w:rsidRPr="00C2548D">
        <w:rPr>
          <w:lang w:val="fr-FR"/>
        </w:rPr>
        <w:t xml:space="preserve"> </w:t>
      </w:r>
      <w:r w:rsidR="003D03A8" w:rsidRPr="00C2548D">
        <w:rPr>
          <w:lang w:val="fr-FR"/>
        </w:rPr>
        <w:t>l</w:t>
      </w:r>
      <w:r w:rsidR="00C2548D">
        <w:rPr>
          <w:lang w:val="fr-FR"/>
        </w:rPr>
        <w:t>’</w:t>
      </w:r>
      <w:r w:rsidR="003D03A8" w:rsidRPr="00C2548D">
        <w:rPr>
          <w:lang w:val="fr-FR"/>
        </w:rPr>
        <w:t xml:space="preserve">argument </w:t>
      </w:r>
      <w:r w:rsidR="00F13E52" w:rsidRPr="00C2548D">
        <w:rPr>
          <w:lang w:val="fr-FR"/>
        </w:rPr>
        <w:t>du Gouvernement</w:t>
      </w:r>
      <w:r w:rsidR="003D03A8" w:rsidRPr="00C2548D">
        <w:rPr>
          <w:lang w:val="fr-FR"/>
        </w:rPr>
        <w:t xml:space="preserve"> </w:t>
      </w:r>
      <w:r w:rsidR="00F13E52" w:rsidRPr="00C2548D">
        <w:rPr>
          <w:lang w:val="fr-FR"/>
        </w:rPr>
        <w:t>s</w:t>
      </w:r>
      <w:r w:rsidR="003D03A8" w:rsidRPr="00C2548D">
        <w:rPr>
          <w:lang w:val="fr-FR"/>
        </w:rPr>
        <w:t>elon lequel le requérant aurait emmené sa fille en Italie afin d</w:t>
      </w:r>
      <w:r w:rsidR="00C2548D">
        <w:rPr>
          <w:lang w:val="fr-FR"/>
        </w:rPr>
        <w:t>’</w:t>
      </w:r>
      <w:r w:rsidR="003D03A8" w:rsidRPr="00C2548D">
        <w:rPr>
          <w:lang w:val="fr-FR"/>
        </w:rPr>
        <w:t xml:space="preserve">obtenir plus facilement </w:t>
      </w:r>
      <w:r w:rsidR="00C30E5C" w:rsidRPr="00C2548D">
        <w:rPr>
          <w:lang w:val="fr-FR"/>
        </w:rPr>
        <w:t xml:space="preserve">un </w:t>
      </w:r>
      <w:r w:rsidR="003D03A8" w:rsidRPr="00C2548D">
        <w:rPr>
          <w:lang w:val="fr-FR"/>
        </w:rPr>
        <w:t xml:space="preserve">permis de </w:t>
      </w:r>
      <w:r w:rsidR="00F13E52" w:rsidRPr="00C2548D">
        <w:rPr>
          <w:lang w:val="fr-FR"/>
        </w:rPr>
        <w:t>séjour</w:t>
      </w:r>
      <w:r w:rsidR="003F2241" w:rsidRPr="00C2548D">
        <w:rPr>
          <w:lang w:val="fr-FR"/>
        </w:rPr>
        <w:t xml:space="preserve">. </w:t>
      </w:r>
      <w:r w:rsidR="009D4574" w:rsidRPr="00C2548D">
        <w:rPr>
          <w:lang w:val="fr-FR"/>
        </w:rPr>
        <w:t>En l</w:t>
      </w:r>
      <w:r w:rsidR="00C2548D">
        <w:rPr>
          <w:lang w:val="fr-FR"/>
        </w:rPr>
        <w:t>’</w:t>
      </w:r>
      <w:r w:rsidR="009D4574" w:rsidRPr="00C2548D">
        <w:rPr>
          <w:lang w:val="fr-FR"/>
        </w:rPr>
        <w:t>absence d</w:t>
      </w:r>
      <w:r w:rsidR="00C2548D">
        <w:rPr>
          <w:lang w:val="fr-FR"/>
        </w:rPr>
        <w:t>’</w:t>
      </w:r>
      <w:r w:rsidR="009D4574" w:rsidRPr="00C2548D">
        <w:rPr>
          <w:lang w:val="fr-FR"/>
        </w:rPr>
        <w:t>éléments objectifs dans le dossier qui accréditeraient l</w:t>
      </w:r>
      <w:r w:rsidR="00C2548D">
        <w:rPr>
          <w:lang w:val="fr-FR"/>
        </w:rPr>
        <w:t>’</w:t>
      </w:r>
      <w:r w:rsidR="009D4574" w:rsidRPr="00C2548D">
        <w:rPr>
          <w:lang w:val="fr-FR"/>
        </w:rPr>
        <w:t>idée que le but du requérant était d</w:t>
      </w:r>
      <w:r w:rsidR="00C2548D">
        <w:rPr>
          <w:lang w:val="fr-FR"/>
        </w:rPr>
        <w:t>’</w:t>
      </w:r>
      <w:r w:rsidR="009D4574" w:rsidRPr="00C2548D">
        <w:rPr>
          <w:lang w:val="fr-FR"/>
        </w:rPr>
        <w:t>utiliser l</w:t>
      </w:r>
      <w:r w:rsidR="00C2548D">
        <w:rPr>
          <w:lang w:val="fr-FR"/>
        </w:rPr>
        <w:t>’</w:t>
      </w:r>
      <w:r w:rsidR="009D4574" w:rsidRPr="00C2548D">
        <w:rPr>
          <w:lang w:val="fr-FR"/>
        </w:rPr>
        <w:t xml:space="preserve">enfant pour obtenir plus facilement un permis de séjour en Italie, elle </w:t>
      </w:r>
      <w:r w:rsidR="00F13E52" w:rsidRPr="00C2548D">
        <w:rPr>
          <w:lang w:val="fr-FR"/>
        </w:rPr>
        <w:t>ne saurait spéculer sur les motivation</w:t>
      </w:r>
      <w:r w:rsidR="00C744C1" w:rsidRPr="00C2548D">
        <w:rPr>
          <w:lang w:val="fr-FR"/>
        </w:rPr>
        <w:t>s du requérant et sur son choix de q</w:t>
      </w:r>
      <w:r w:rsidR="009B2E37" w:rsidRPr="00C2548D">
        <w:rPr>
          <w:lang w:val="fr-FR"/>
        </w:rPr>
        <w:t xml:space="preserve">uitter </w:t>
      </w:r>
      <w:r w:rsidR="00EA02C7" w:rsidRPr="00C2548D">
        <w:rPr>
          <w:lang w:val="fr-FR"/>
        </w:rPr>
        <w:t>la L</w:t>
      </w:r>
      <w:r w:rsidRPr="00C2548D">
        <w:rPr>
          <w:lang w:val="fr-FR"/>
        </w:rPr>
        <w:t>iby</w:t>
      </w:r>
      <w:r w:rsidR="00EA02C7" w:rsidRPr="00C2548D">
        <w:rPr>
          <w:lang w:val="fr-FR"/>
        </w:rPr>
        <w:t>e</w:t>
      </w:r>
      <w:r w:rsidR="009B2E37" w:rsidRPr="00C2548D">
        <w:rPr>
          <w:lang w:val="fr-FR"/>
        </w:rPr>
        <w:t xml:space="preserve"> avec sa fille </w:t>
      </w:r>
      <w:r w:rsidR="00C30E5C" w:rsidRPr="00C2548D">
        <w:rPr>
          <w:lang w:val="fr-FR"/>
        </w:rPr>
        <w:t xml:space="preserve">alors âgée </w:t>
      </w:r>
      <w:r w:rsidR="009B2E37" w:rsidRPr="00C2548D">
        <w:rPr>
          <w:lang w:val="fr-FR"/>
        </w:rPr>
        <w:t>de deux ans.</w:t>
      </w:r>
    </w:p>
    <w:p w:rsidR="003442AD"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67</w:t>
      </w:r>
      <w:r>
        <w:rPr>
          <w:noProof/>
        </w:rPr>
        <w:fldChar w:fldCharType="end"/>
      </w:r>
      <w:r w:rsidR="004C11C5" w:rsidRPr="00C2548D">
        <w:rPr>
          <w:lang w:val="fr-FR"/>
        </w:rPr>
        <w:t>.  </w:t>
      </w:r>
      <w:r w:rsidR="008C7378" w:rsidRPr="00C2548D">
        <w:rPr>
          <w:lang w:val="fr-FR"/>
        </w:rPr>
        <w:t>À</w:t>
      </w:r>
      <w:r w:rsidR="00AE763D" w:rsidRPr="00C2548D">
        <w:rPr>
          <w:lang w:val="fr-FR"/>
        </w:rPr>
        <w:t xml:space="preserve"> leur arrivé</w:t>
      </w:r>
      <w:r w:rsidR="003E1600" w:rsidRPr="00C2548D">
        <w:rPr>
          <w:lang w:val="fr-FR"/>
        </w:rPr>
        <w:t>e</w:t>
      </w:r>
      <w:r w:rsidR="00AE763D" w:rsidRPr="00C2548D">
        <w:rPr>
          <w:lang w:val="fr-FR"/>
        </w:rPr>
        <w:t xml:space="preserve"> en </w:t>
      </w:r>
      <w:r w:rsidR="003E1600" w:rsidRPr="00C2548D">
        <w:rPr>
          <w:lang w:val="fr-FR"/>
        </w:rPr>
        <w:t>Italie en février 2009</w:t>
      </w:r>
      <w:r w:rsidR="00AE763D" w:rsidRPr="00C2548D">
        <w:rPr>
          <w:lang w:val="fr-FR"/>
        </w:rPr>
        <w:t xml:space="preserve">, le requérant et sa fille furent </w:t>
      </w:r>
      <w:r w:rsidR="000702C2" w:rsidRPr="00C2548D">
        <w:rPr>
          <w:lang w:val="fr-FR"/>
        </w:rPr>
        <w:t>insérés</w:t>
      </w:r>
      <w:r w:rsidR="003E1600" w:rsidRPr="00C2548D">
        <w:rPr>
          <w:lang w:val="fr-FR"/>
        </w:rPr>
        <w:t xml:space="preserve"> dans un projet pour l</w:t>
      </w:r>
      <w:r>
        <w:rPr>
          <w:lang w:val="fr-FR"/>
        </w:rPr>
        <w:t>’</w:t>
      </w:r>
      <w:r w:rsidR="00E32A30" w:rsidRPr="00C2548D">
        <w:rPr>
          <w:lang w:val="fr-FR"/>
        </w:rPr>
        <w:t>accueil des réfugiés</w:t>
      </w:r>
      <w:r w:rsidR="003E1600" w:rsidRPr="00C2548D">
        <w:rPr>
          <w:lang w:val="fr-FR"/>
        </w:rPr>
        <w:t>.</w:t>
      </w:r>
      <w:r w:rsidR="00E32A30" w:rsidRPr="00C2548D">
        <w:rPr>
          <w:lang w:val="fr-FR"/>
        </w:rPr>
        <w:t xml:space="preserve"> </w:t>
      </w:r>
      <w:r w:rsidR="003E1600" w:rsidRPr="00C2548D">
        <w:rPr>
          <w:lang w:val="fr-FR"/>
        </w:rPr>
        <w:t>I</w:t>
      </w:r>
      <w:r w:rsidR="000702C2" w:rsidRPr="00C2548D">
        <w:rPr>
          <w:lang w:val="fr-FR"/>
        </w:rPr>
        <w:t>ls furent</w:t>
      </w:r>
      <w:r w:rsidR="00AE763D" w:rsidRPr="00C2548D">
        <w:rPr>
          <w:lang w:val="fr-FR"/>
        </w:rPr>
        <w:t xml:space="preserve"> accueillis dans un centre et les services sociaux </w:t>
      </w:r>
      <w:r w:rsidR="001F6226" w:rsidRPr="00C2548D">
        <w:rPr>
          <w:lang w:val="fr-FR"/>
        </w:rPr>
        <w:t>surveillèrent</w:t>
      </w:r>
      <w:r w:rsidR="007A7AB4" w:rsidRPr="00C2548D">
        <w:rPr>
          <w:lang w:val="fr-FR"/>
        </w:rPr>
        <w:t xml:space="preserve"> </w:t>
      </w:r>
      <w:r w:rsidR="00AE763D" w:rsidRPr="00C2548D">
        <w:rPr>
          <w:lang w:val="fr-FR"/>
        </w:rPr>
        <w:t>la situation de l</w:t>
      </w:r>
      <w:r>
        <w:rPr>
          <w:lang w:val="fr-FR"/>
        </w:rPr>
        <w:t>’</w:t>
      </w:r>
      <w:r w:rsidR="00AE763D" w:rsidRPr="00C2548D">
        <w:rPr>
          <w:lang w:val="fr-FR"/>
        </w:rPr>
        <w:t>enfant</w:t>
      </w:r>
      <w:r w:rsidR="003F2241" w:rsidRPr="00C2548D">
        <w:rPr>
          <w:lang w:val="fr-FR"/>
        </w:rPr>
        <w:t>,</w:t>
      </w:r>
      <w:r w:rsidR="00AE763D" w:rsidRPr="00C2548D">
        <w:rPr>
          <w:lang w:val="fr-FR"/>
        </w:rPr>
        <w:t xml:space="preserve"> qui semblait être désorientée </w:t>
      </w:r>
      <w:r w:rsidR="003F2241" w:rsidRPr="00C2548D">
        <w:rPr>
          <w:lang w:val="fr-FR"/>
        </w:rPr>
        <w:t xml:space="preserve">à la suite de certaines </w:t>
      </w:r>
      <w:r w:rsidR="00AE763D" w:rsidRPr="00C2548D">
        <w:rPr>
          <w:lang w:val="fr-FR"/>
        </w:rPr>
        <w:t>expériences vécues dans le passé.</w:t>
      </w:r>
    </w:p>
    <w:p w:rsidR="00AE763D"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68</w:t>
      </w:r>
      <w:r>
        <w:rPr>
          <w:noProof/>
        </w:rPr>
        <w:fldChar w:fldCharType="end"/>
      </w:r>
      <w:r w:rsidR="00C744C1" w:rsidRPr="00C2548D">
        <w:rPr>
          <w:lang w:val="fr-FR"/>
        </w:rPr>
        <w:t>.  Le 2 avril 2009</w:t>
      </w:r>
      <w:r w:rsidR="00AE763D" w:rsidRPr="00C2548D">
        <w:rPr>
          <w:lang w:val="fr-FR"/>
        </w:rPr>
        <w:t>, le requérant fut arrêté et l</w:t>
      </w:r>
      <w:r>
        <w:rPr>
          <w:lang w:val="fr-FR"/>
        </w:rPr>
        <w:t>’</w:t>
      </w:r>
      <w:r w:rsidR="00AE763D" w:rsidRPr="00C2548D">
        <w:rPr>
          <w:lang w:val="fr-FR"/>
        </w:rPr>
        <w:t>enfant fut transféré</w:t>
      </w:r>
      <w:r w:rsidR="003F268E" w:rsidRPr="00C2548D">
        <w:rPr>
          <w:lang w:val="fr-FR"/>
        </w:rPr>
        <w:t>e</w:t>
      </w:r>
      <w:r w:rsidR="00AE763D" w:rsidRPr="00C2548D">
        <w:rPr>
          <w:lang w:val="fr-FR"/>
        </w:rPr>
        <w:t xml:space="preserve"> dans un </w:t>
      </w:r>
      <w:r w:rsidR="00101003" w:rsidRPr="00C2548D">
        <w:rPr>
          <w:lang w:val="fr-FR"/>
        </w:rPr>
        <w:t>foyer</w:t>
      </w:r>
      <w:r w:rsidR="00AE763D" w:rsidRPr="00C2548D">
        <w:rPr>
          <w:lang w:val="fr-FR"/>
        </w:rPr>
        <w:t xml:space="preserve">. Elle était traumatisée et se </w:t>
      </w:r>
      <w:r w:rsidR="000702C2" w:rsidRPr="00C2548D">
        <w:rPr>
          <w:lang w:val="fr-FR"/>
        </w:rPr>
        <w:t>réveillait</w:t>
      </w:r>
      <w:r w:rsidR="00AE763D" w:rsidRPr="00C2548D">
        <w:rPr>
          <w:lang w:val="fr-FR"/>
        </w:rPr>
        <w:t xml:space="preserve"> en pleurant la nuit. </w:t>
      </w:r>
      <w:r w:rsidR="004264F2" w:rsidRPr="00C2548D">
        <w:rPr>
          <w:lang w:val="fr-FR"/>
        </w:rPr>
        <w:t>C</w:t>
      </w:r>
      <w:r>
        <w:rPr>
          <w:lang w:val="fr-FR"/>
        </w:rPr>
        <w:t>’</w:t>
      </w:r>
      <w:r w:rsidR="004264F2" w:rsidRPr="00C2548D">
        <w:rPr>
          <w:lang w:val="fr-FR"/>
        </w:rPr>
        <w:t>est pourquoi il fut décidé de la placer</w:t>
      </w:r>
      <w:r w:rsidR="00AE763D" w:rsidRPr="00C2548D">
        <w:rPr>
          <w:lang w:val="fr-FR"/>
        </w:rPr>
        <w:t xml:space="preserve"> en famille d</w:t>
      </w:r>
      <w:r>
        <w:rPr>
          <w:lang w:val="fr-FR"/>
        </w:rPr>
        <w:t>’</w:t>
      </w:r>
      <w:r w:rsidR="00AE763D" w:rsidRPr="00C2548D">
        <w:rPr>
          <w:lang w:val="fr-FR"/>
        </w:rPr>
        <w:t>accueil</w:t>
      </w:r>
      <w:r w:rsidR="004264F2" w:rsidRPr="00C2548D">
        <w:rPr>
          <w:lang w:val="fr-FR"/>
        </w:rPr>
        <w:t>,</w:t>
      </w:r>
      <w:r w:rsidR="00AE763D" w:rsidRPr="00C2548D">
        <w:rPr>
          <w:lang w:val="fr-FR"/>
        </w:rPr>
        <w:t xml:space="preserve"> afin de lui </w:t>
      </w:r>
      <w:r w:rsidR="004264F2" w:rsidRPr="00C2548D">
        <w:rPr>
          <w:lang w:val="fr-FR"/>
        </w:rPr>
        <w:t xml:space="preserve">offrir </w:t>
      </w:r>
      <w:r w:rsidR="00AE763D" w:rsidRPr="00C2548D">
        <w:rPr>
          <w:lang w:val="fr-FR"/>
        </w:rPr>
        <w:t>un</w:t>
      </w:r>
      <w:r w:rsidR="0058032A" w:rsidRPr="00C2548D">
        <w:rPr>
          <w:lang w:val="fr-FR"/>
        </w:rPr>
        <w:t xml:space="preserve"> environnement stable.</w:t>
      </w:r>
    </w:p>
    <w:p w:rsidR="0058032A" w:rsidRPr="00C2548D" w:rsidRDefault="00C2548D" w:rsidP="00EE069C">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69</w:t>
      </w:r>
      <w:r>
        <w:rPr>
          <w:noProof/>
        </w:rPr>
        <w:fldChar w:fldCharType="end"/>
      </w:r>
      <w:r w:rsidR="0058032A" w:rsidRPr="00C2548D">
        <w:rPr>
          <w:lang w:val="fr-FR"/>
        </w:rPr>
        <w:t>.  La Cour note que pendant sa détention, le requérant, a exprimé son intérêt pour l</w:t>
      </w:r>
      <w:r>
        <w:rPr>
          <w:lang w:val="fr-FR"/>
        </w:rPr>
        <w:t>’</w:t>
      </w:r>
      <w:r w:rsidR="0058032A" w:rsidRPr="00C2548D">
        <w:rPr>
          <w:lang w:val="fr-FR"/>
        </w:rPr>
        <w:t>enfant</w:t>
      </w:r>
      <w:r w:rsidR="00E32A30" w:rsidRPr="00C2548D">
        <w:rPr>
          <w:lang w:val="fr-FR"/>
        </w:rPr>
        <w:t>,</w:t>
      </w:r>
      <w:r w:rsidR="0058032A" w:rsidRPr="00C2548D">
        <w:rPr>
          <w:lang w:val="fr-FR"/>
        </w:rPr>
        <w:t xml:space="preserve"> et une fois acquitté, a demandé </w:t>
      </w:r>
      <w:r w:rsidR="00C744C1" w:rsidRPr="00C2548D">
        <w:rPr>
          <w:lang w:val="fr-FR"/>
        </w:rPr>
        <w:t>à</w:t>
      </w:r>
      <w:r w:rsidR="0058032A" w:rsidRPr="00C2548D">
        <w:rPr>
          <w:lang w:val="fr-FR"/>
        </w:rPr>
        <w:t xml:space="preserve"> la rencontrer. Il a reconnu que l</w:t>
      </w:r>
      <w:r>
        <w:rPr>
          <w:lang w:val="fr-FR"/>
        </w:rPr>
        <w:t>’</w:t>
      </w:r>
      <w:r w:rsidR="0058032A" w:rsidRPr="00C2548D">
        <w:rPr>
          <w:lang w:val="fr-FR"/>
        </w:rPr>
        <w:t>enfant vivait dans un environnement serein et qu</w:t>
      </w:r>
      <w:r>
        <w:rPr>
          <w:lang w:val="fr-FR"/>
        </w:rPr>
        <w:t>’</w:t>
      </w:r>
      <w:r w:rsidR="0058032A" w:rsidRPr="00C2548D">
        <w:rPr>
          <w:lang w:val="fr-FR"/>
        </w:rPr>
        <w:t xml:space="preserve">il était </w:t>
      </w:r>
      <w:r w:rsidR="00E064EE" w:rsidRPr="00C2548D">
        <w:rPr>
          <w:lang w:val="fr-FR"/>
        </w:rPr>
        <w:t>nécessaire</w:t>
      </w:r>
      <w:r w:rsidR="00E64D4B" w:rsidRPr="00C2548D">
        <w:rPr>
          <w:lang w:val="fr-FR"/>
        </w:rPr>
        <w:t>, de son côté,</w:t>
      </w:r>
      <w:r w:rsidR="0058032A" w:rsidRPr="00C2548D">
        <w:rPr>
          <w:lang w:val="fr-FR"/>
        </w:rPr>
        <w:t xml:space="preserve"> qu</w:t>
      </w:r>
      <w:r>
        <w:rPr>
          <w:lang w:val="fr-FR"/>
        </w:rPr>
        <w:t>’</w:t>
      </w:r>
      <w:r w:rsidR="00E064EE" w:rsidRPr="00C2548D">
        <w:rPr>
          <w:lang w:val="fr-FR"/>
        </w:rPr>
        <w:t>il trouve un travail.</w:t>
      </w:r>
    </w:p>
    <w:p w:rsidR="00E17583" w:rsidRPr="00C2548D" w:rsidRDefault="00C2548D" w:rsidP="00EE069C">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70</w:t>
      </w:r>
      <w:r>
        <w:rPr>
          <w:noProof/>
        </w:rPr>
        <w:fldChar w:fldCharType="end"/>
      </w:r>
      <w:r w:rsidR="00E064EE" w:rsidRPr="00C2548D">
        <w:rPr>
          <w:lang w:val="fr-FR"/>
        </w:rPr>
        <w:t>.  </w:t>
      </w:r>
      <w:r w:rsidR="001F6226" w:rsidRPr="00C2548D">
        <w:rPr>
          <w:lang w:val="fr-FR"/>
        </w:rPr>
        <w:t>La</w:t>
      </w:r>
      <w:r w:rsidR="00E064EE" w:rsidRPr="00C2548D">
        <w:rPr>
          <w:lang w:val="fr-FR"/>
        </w:rPr>
        <w:t xml:space="preserve"> seule rencontre autorisée avec l</w:t>
      </w:r>
      <w:r>
        <w:rPr>
          <w:lang w:val="fr-FR"/>
        </w:rPr>
        <w:t>’</w:t>
      </w:r>
      <w:r w:rsidR="00E064EE" w:rsidRPr="00C2548D">
        <w:rPr>
          <w:lang w:val="fr-FR"/>
        </w:rPr>
        <w:t>enfant</w:t>
      </w:r>
      <w:r w:rsidR="00E64D4B" w:rsidRPr="00C2548D">
        <w:rPr>
          <w:lang w:val="fr-FR"/>
        </w:rPr>
        <w:t>, qui</w:t>
      </w:r>
      <w:r w:rsidR="001F6226" w:rsidRPr="00C2548D">
        <w:rPr>
          <w:lang w:val="fr-FR"/>
        </w:rPr>
        <w:t xml:space="preserve"> </w:t>
      </w:r>
      <w:r w:rsidR="003E1600" w:rsidRPr="00C2548D">
        <w:rPr>
          <w:lang w:val="fr-FR"/>
        </w:rPr>
        <w:t>a eu lieu le 30 juillet 2012</w:t>
      </w:r>
      <w:r w:rsidR="00E64D4B" w:rsidRPr="00C2548D">
        <w:rPr>
          <w:lang w:val="fr-FR"/>
        </w:rPr>
        <w:t>,</w:t>
      </w:r>
      <w:r w:rsidR="00B92E1D" w:rsidRPr="00C2548D">
        <w:rPr>
          <w:lang w:val="fr-FR"/>
        </w:rPr>
        <w:t xml:space="preserve"> </w:t>
      </w:r>
      <w:r w:rsidR="00E64D4B" w:rsidRPr="00C2548D">
        <w:rPr>
          <w:lang w:val="fr-FR"/>
        </w:rPr>
        <w:t>connut un déroulement</w:t>
      </w:r>
      <w:r w:rsidR="001F6226" w:rsidRPr="00C2548D">
        <w:rPr>
          <w:lang w:val="fr-FR"/>
        </w:rPr>
        <w:t xml:space="preserve"> difficile, </w:t>
      </w:r>
      <w:r w:rsidR="003E1600" w:rsidRPr="00C2548D">
        <w:rPr>
          <w:lang w:val="fr-FR"/>
        </w:rPr>
        <w:t xml:space="preserve">en raison probablement du fait que le requérant </w:t>
      </w:r>
      <w:r w:rsidR="009E2E79" w:rsidRPr="00C2548D">
        <w:rPr>
          <w:lang w:val="fr-FR"/>
        </w:rPr>
        <w:t>n</w:t>
      </w:r>
      <w:r>
        <w:rPr>
          <w:lang w:val="fr-FR"/>
        </w:rPr>
        <w:t>’</w:t>
      </w:r>
      <w:r w:rsidR="009E2E79" w:rsidRPr="00C2548D">
        <w:rPr>
          <w:lang w:val="fr-FR"/>
        </w:rPr>
        <w:t>avait plus vu</w:t>
      </w:r>
      <w:r w:rsidR="00E64D4B" w:rsidRPr="00C2548D">
        <w:rPr>
          <w:lang w:val="fr-FR"/>
        </w:rPr>
        <w:t xml:space="preserve"> </w:t>
      </w:r>
      <w:r w:rsidR="001F6226" w:rsidRPr="00C2548D">
        <w:rPr>
          <w:lang w:val="fr-FR"/>
        </w:rPr>
        <w:t>sa fille depuis trois ans</w:t>
      </w:r>
      <w:r w:rsidR="003E1600" w:rsidRPr="00C2548D">
        <w:rPr>
          <w:lang w:val="fr-FR"/>
        </w:rPr>
        <w:t xml:space="preserve"> </w:t>
      </w:r>
      <w:r w:rsidR="00E64D4B" w:rsidRPr="00C2548D">
        <w:rPr>
          <w:lang w:val="fr-FR"/>
        </w:rPr>
        <w:t>alors qu</w:t>
      </w:r>
      <w:r>
        <w:rPr>
          <w:lang w:val="fr-FR"/>
        </w:rPr>
        <w:t>’</w:t>
      </w:r>
      <w:r w:rsidR="00E64D4B" w:rsidRPr="00C2548D">
        <w:rPr>
          <w:lang w:val="fr-FR"/>
        </w:rPr>
        <w:t>il s</w:t>
      </w:r>
      <w:r>
        <w:rPr>
          <w:lang w:val="fr-FR"/>
        </w:rPr>
        <w:t>’</w:t>
      </w:r>
      <w:r w:rsidR="00E64D4B" w:rsidRPr="00C2548D">
        <w:rPr>
          <w:lang w:val="fr-FR"/>
        </w:rPr>
        <w:t>agissait d</w:t>
      </w:r>
      <w:r>
        <w:rPr>
          <w:lang w:val="fr-FR"/>
        </w:rPr>
        <w:t>’</w:t>
      </w:r>
      <w:r w:rsidR="00E64D4B" w:rsidRPr="00C2548D">
        <w:rPr>
          <w:lang w:val="fr-FR"/>
        </w:rPr>
        <w:t xml:space="preserve">une enfant en bas âge </w:t>
      </w:r>
      <w:r w:rsidR="003E1600" w:rsidRPr="00C2548D">
        <w:rPr>
          <w:lang w:val="fr-FR"/>
        </w:rPr>
        <w:t xml:space="preserve">(paragraphes 19-20 </w:t>
      </w:r>
      <w:r w:rsidR="006767B6" w:rsidRPr="00C2548D">
        <w:rPr>
          <w:lang w:val="fr-FR"/>
        </w:rPr>
        <w:t>ci</w:t>
      </w:r>
      <w:r w:rsidR="006767B6" w:rsidRPr="00C2548D">
        <w:rPr>
          <w:lang w:val="fr-FR"/>
        </w:rPr>
        <w:noBreakHyphen/>
      </w:r>
      <w:r w:rsidR="003E1600" w:rsidRPr="00C2548D">
        <w:rPr>
          <w:lang w:val="fr-FR"/>
        </w:rPr>
        <w:t xml:space="preserve"> dessus).</w:t>
      </w:r>
      <w:r w:rsidR="001F6226" w:rsidRPr="00C2548D">
        <w:rPr>
          <w:lang w:val="fr-FR"/>
        </w:rPr>
        <w:t xml:space="preserve"> </w:t>
      </w:r>
      <w:r w:rsidR="00E064EE" w:rsidRPr="00C2548D">
        <w:rPr>
          <w:lang w:val="fr-FR"/>
        </w:rPr>
        <w:t xml:space="preserve">Ensuite le requérant </w:t>
      </w:r>
      <w:r w:rsidR="000C28DE" w:rsidRPr="00C2548D">
        <w:rPr>
          <w:lang w:val="fr-FR"/>
        </w:rPr>
        <w:t>déménagea</w:t>
      </w:r>
      <w:r w:rsidR="00E064EE" w:rsidRPr="00C2548D">
        <w:rPr>
          <w:lang w:val="fr-FR"/>
        </w:rPr>
        <w:t xml:space="preserve"> et </w:t>
      </w:r>
      <w:r w:rsidR="006A2C97" w:rsidRPr="00C2548D">
        <w:rPr>
          <w:lang w:val="fr-FR"/>
        </w:rPr>
        <w:t>ne donna plus</w:t>
      </w:r>
      <w:r w:rsidR="00E064EE" w:rsidRPr="00C2548D">
        <w:rPr>
          <w:lang w:val="fr-FR"/>
        </w:rPr>
        <w:t xml:space="preserve"> de </w:t>
      </w:r>
      <w:r w:rsidR="000C28DE" w:rsidRPr="00C2548D">
        <w:rPr>
          <w:lang w:val="fr-FR"/>
        </w:rPr>
        <w:t>nouvelles</w:t>
      </w:r>
      <w:r w:rsidR="001F6226" w:rsidRPr="00C2548D">
        <w:rPr>
          <w:lang w:val="fr-FR"/>
        </w:rPr>
        <w:t xml:space="preserve"> aux services sociaux</w:t>
      </w:r>
      <w:r w:rsidR="006A2C97" w:rsidRPr="00C2548D">
        <w:rPr>
          <w:lang w:val="fr-FR"/>
        </w:rPr>
        <w:t xml:space="preserve"> pendant trois mois</w:t>
      </w:r>
      <w:r w:rsidR="00E17583" w:rsidRPr="00C2548D">
        <w:rPr>
          <w:lang w:val="fr-FR"/>
        </w:rPr>
        <w:t>,</w:t>
      </w:r>
      <w:r w:rsidR="001F6226" w:rsidRPr="00C2548D">
        <w:rPr>
          <w:lang w:val="fr-FR"/>
        </w:rPr>
        <w:t xml:space="preserve"> avant de redemander une rencontre avec l</w:t>
      </w:r>
      <w:r>
        <w:rPr>
          <w:lang w:val="fr-FR"/>
        </w:rPr>
        <w:t>’</w:t>
      </w:r>
      <w:r w:rsidR="001F6226" w:rsidRPr="00C2548D">
        <w:rPr>
          <w:lang w:val="fr-FR"/>
        </w:rPr>
        <w:t>enfant.</w:t>
      </w:r>
    </w:p>
    <w:p w:rsidR="003442AD" w:rsidRPr="00C2548D" w:rsidRDefault="003F268E" w:rsidP="00EE069C">
      <w:pPr>
        <w:pStyle w:val="ECHRPara"/>
        <w:rPr>
          <w:rFonts w:ascii="Times New Roman" w:eastAsia="Calibri" w:hAnsi="Times New Roman" w:cs="Times New Roman"/>
          <w:szCs w:val="24"/>
          <w:lang w:val="fr-FR"/>
        </w:rPr>
      </w:pPr>
      <w:r w:rsidRPr="00C2548D">
        <w:rPr>
          <w:rFonts w:ascii="Times New Roman" w:eastAsia="Calibri" w:hAnsi="Times New Roman" w:cs="Times New Roman"/>
          <w:szCs w:val="24"/>
          <w:lang w:val="fr-FR"/>
        </w:rPr>
        <w:t>La Cour note qu</w:t>
      </w:r>
      <w:r w:rsidR="00C2548D">
        <w:rPr>
          <w:rFonts w:ascii="Times New Roman" w:eastAsia="Calibri" w:hAnsi="Times New Roman" w:cs="Times New Roman"/>
          <w:szCs w:val="24"/>
          <w:lang w:val="fr-FR"/>
        </w:rPr>
        <w:t>’</w:t>
      </w:r>
      <w:r w:rsidRPr="00C2548D">
        <w:rPr>
          <w:rFonts w:ascii="Times New Roman" w:eastAsia="Calibri" w:hAnsi="Times New Roman" w:cs="Times New Roman"/>
          <w:szCs w:val="24"/>
          <w:lang w:val="fr-FR"/>
        </w:rPr>
        <w:t xml:space="preserve">aucune expertise psychologique visant à vérifier la capacité du requérant </w:t>
      </w:r>
      <w:r w:rsidR="00E17583" w:rsidRPr="00C2548D">
        <w:rPr>
          <w:rFonts w:ascii="Times New Roman" w:eastAsia="Calibri" w:hAnsi="Times New Roman" w:cs="Times New Roman"/>
          <w:szCs w:val="24"/>
          <w:lang w:val="fr-FR"/>
        </w:rPr>
        <w:t xml:space="preserve">à </w:t>
      </w:r>
      <w:r w:rsidRPr="00C2548D">
        <w:rPr>
          <w:rFonts w:ascii="Times New Roman" w:eastAsia="Calibri" w:hAnsi="Times New Roman" w:cs="Times New Roman"/>
          <w:szCs w:val="24"/>
          <w:lang w:val="fr-FR"/>
        </w:rPr>
        <w:t>exercer son rôle de parent n</w:t>
      </w:r>
      <w:r w:rsidR="00C2548D">
        <w:rPr>
          <w:rFonts w:ascii="Times New Roman" w:eastAsia="Calibri" w:hAnsi="Times New Roman" w:cs="Times New Roman"/>
          <w:szCs w:val="24"/>
          <w:lang w:val="fr-FR"/>
        </w:rPr>
        <w:t>’</w:t>
      </w:r>
      <w:r w:rsidRPr="00C2548D">
        <w:rPr>
          <w:rFonts w:ascii="Times New Roman" w:eastAsia="Calibri" w:hAnsi="Times New Roman" w:cs="Times New Roman"/>
          <w:szCs w:val="24"/>
          <w:lang w:val="fr-FR"/>
        </w:rPr>
        <w:t>a eu lieu et que s</w:t>
      </w:r>
      <w:r w:rsidR="00C2548D">
        <w:rPr>
          <w:rFonts w:ascii="Times New Roman" w:eastAsia="Calibri" w:hAnsi="Times New Roman" w:cs="Times New Roman"/>
          <w:szCs w:val="24"/>
          <w:lang w:val="fr-FR"/>
        </w:rPr>
        <w:t>’</w:t>
      </w:r>
      <w:r w:rsidRPr="00C2548D">
        <w:rPr>
          <w:rFonts w:ascii="Times New Roman" w:eastAsia="Calibri" w:hAnsi="Times New Roman" w:cs="Times New Roman"/>
          <w:szCs w:val="24"/>
          <w:lang w:val="fr-FR"/>
        </w:rPr>
        <w:t>il est vrai que plusieurs rapports sur l</w:t>
      </w:r>
      <w:r w:rsidR="00C2548D">
        <w:rPr>
          <w:rFonts w:ascii="Times New Roman" w:eastAsia="Calibri" w:hAnsi="Times New Roman" w:cs="Times New Roman"/>
          <w:szCs w:val="24"/>
          <w:lang w:val="fr-FR"/>
        </w:rPr>
        <w:t>’</w:t>
      </w:r>
      <w:r w:rsidRPr="00C2548D">
        <w:rPr>
          <w:rFonts w:ascii="Times New Roman" w:eastAsia="Calibri" w:hAnsi="Times New Roman" w:cs="Times New Roman"/>
          <w:szCs w:val="24"/>
          <w:lang w:val="fr-FR"/>
        </w:rPr>
        <w:t>état psychologique de l</w:t>
      </w:r>
      <w:r w:rsidR="00C2548D">
        <w:rPr>
          <w:rFonts w:ascii="Times New Roman" w:eastAsia="Calibri" w:hAnsi="Times New Roman" w:cs="Times New Roman"/>
          <w:szCs w:val="24"/>
          <w:lang w:val="fr-FR"/>
        </w:rPr>
        <w:t>’</w:t>
      </w:r>
      <w:r w:rsidRPr="00C2548D">
        <w:rPr>
          <w:rFonts w:ascii="Times New Roman" w:eastAsia="Calibri" w:hAnsi="Times New Roman" w:cs="Times New Roman"/>
          <w:szCs w:val="24"/>
          <w:lang w:val="fr-FR"/>
        </w:rPr>
        <w:t xml:space="preserve">enfant ont été déposés devant les juridictions internes, la décision de </w:t>
      </w:r>
      <w:r w:rsidR="00E17583" w:rsidRPr="00C2548D">
        <w:rPr>
          <w:rFonts w:ascii="Times New Roman" w:eastAsia="Calibri" w:hAnsi="Times New Roman" w:cs="Times New Roman"/>
          <w:szCs w:val="24"/>
          <w:lang w:val="fr-FR"/>
        </w:rPr>
        <w:t xml:space="preserve">rompre </w:t>
      </w:r>
      <w:r w:rsidRPr="00C2548D">
        <w:rPr>
          <w:rFonts w:ascii="Times New Roman" w:eastAsia="Calibri" w:hAnsi="Times New Roman" w:cs="Times New Roman"/>
          <w:szCs w:val="24"/>
          <w:lang w:val="fr-FR"/>
        </w:rPr>
        <w:t xml:space="preserve">le lien parent-enfant </w:t>
      </w:r>
      <w:r w:rsidR="00E17583" w:rsidRPr="00C2548D">
        <w:rPr>
          <w:rFonts w:ascii="Times New Roman" w:eastAsia="Calibri" w:hAnsi="Times New Roman" w:cs="Times New Roman"/>
          <w:szCs w:val="24"/>
          <w:lang w:val="fr-FR"/>
        </w:rPr>
        <w:t>s</w:t>
      </w:r>
      <w:r w:rsidR="00C2548D">
        <w:rPr>
          <w:rFonts w:ascii="Times New Roman" w:eastAsia="Calibri" w:hAnsi="Times New Roman" w:cs="Times New Roman"/>
          <w:szCs w:val="24"/>
          <w:lang w:val="fr-FR"/>
        </w:rPr>
        <w:t>’</w:t>
      </w:r>
      <w:r w:rsidR="00E17583" w:rsidRPr="00C2548D">
        <w:rPr>
          <w:rFonts w:ascii="Times New Roman" w:eastAsia="Calibri" w:hAnsi="Times New Roman" w:cs="Times New Roman"/>
          <w:szCs w:val="24"/>
          <w:lang w:val="fr-FR"/>
        </w:rPr>
        <w:t>est fondée de manière exclusive</w:t>
      </w:r>
      <w:r w:rsidRPr="00C2548D">
        <w:rPr>
          <w:rFonts w:ascii="Times New Roman" w:eastAsia="Calibri" w:hAnsi="Times New Roman" w:cs="Times New Roman"/>
          <w:szCs w:val="24"/>
          <w:lang w:val="fr-FR"/>
        </w:rPr>
        <w:t xml:space="preserve"> </w:t>
      </w:r>
      <w:r w:rsidR="00E17583" w:rsidRPr="00C2548D">
        <w:rPr>
          <w:rFonts w:ascii="Times New Roman" w:eastAsia="Calibri" w:hAnsi="Times New Roman" w:cs="Times New Roman"/>
          <w:szCs w:val="24"/>
          <w:lang w:val="fr-FR"/>
        </w:rPr>
        <w:t xml:space="preserve">sur </w:t>
      </w:r>
      <w:r w:rsidRPr="00C2548D">
        <w:rPr>
          <w:rFonts w:ascii="Times New Roman" w:eastAsia="Calibri" w:hAnsi="Times New Roman" w:cs="Times New Roman"/>
          <w:szCs w:val="24"/>
          <w:lang w:val="fr-FR"/>
        </w:rPr>
        <w:t>les rapports des services sociaux</w:t>
      </w:r>
      <w:r w:rsidR="00E17583" w:rsidRPr="00C2548D">
        <w:rPr>
          <w:rFonts w:ascii="Times New Roman" w:eastAsia="Calibri" w:hAnsi="Times New Roman" w:cs="Times New Roman"/>
          <w:szCs w:val="24"/>
          <w:lang w:val="fr-FR"/>
        </w:rPr>
        <w:t>,</w:t>
      </w:r>
      <w:r w:rsidRPr="00C2548D">
        <w:rPr>
          <w:rFonts w:ascii="Times New Roman" w:eastAsia="Calibri" w:hAnsi="Times New Roman" w:cs="Times New Roman"/>
          <w:szCs w:val="24"/>
          <w:lang w:val="fr-FR"/>
        </w:rPr>
        <w:t xml:space="preserve"> qui avaient observé le requérant lors de son arrivée en Italie en 2009 et lors de la seule et unique rencontre avec l</w:t>
      </w:r>
      <w:r w:rsidR="00C2548D">
        <w:rPr>
          <w:rFonts w:ascii="Times New Roman" w:eastAsia="Calibri" w:hAnsi="Times New Roman" w:cs="Times New Roman"/>
          <w:szCs w:val="24"/>
          <w:lang w:val="fr-FR"/>
        </w:rPr>
        <w:t>’</w:t>
      </w:r>
      <w:r w:rsidRPr="00C2548D">
        <w:rPr>
          <w:rFonts w:ascii="Times New Roman" w:eastAsia="Calibri" w:hAnsi="Times New Roman" w:cs="Times New Roman"/>
          <w:szCs w:val="24"/>
          <w:lang w:val="fr-FR"/>
        </w:rPr>
        <w:t>enfant.</w:t>
      </w:r>
    </w:p>
    <w:p w:rsidR="003442AD" w:rsidRPr="00C2548D" w:rsidRDefault="00C2548D" w:rsidP="000E6D7E">
      <w:pPr>
        <w:pStyle w:val="ECHRPara"/>
        <w:rPr>
          <w:rFonts w:eastAsia="Calibri"/>
          <w:lang w:val="fr-FR"/>
        </w:rPr>
      </w:pPr>
      <w:r>
        <w:fldChar w:fldCharType="begin"/>
      </w:r>
      <w:r w:rsidRPr="00C2548D">
        <w:rPr>
          <w:lang w:val="fr-FR"/>
        </w:rPr>
        <w:instrText xml:space="preserve"> SEQ level0 \*arabic </w:instrText>
      </w:r>
      <w:r>
        <w:fldChar w:fldCharType="separate"/>
      </w:r>
      <w:r w:rsidR="00205039" w:rsidRPr="00C2548D">
        <w:rPr>
          <w:noProof/>
          <w:lang w:val="fr-FR"/>
        </w:rPr>
        <w:t>71</w:t>
      </w:r>
      <w:r>
        <w:rPr>
          <w:noProof/>
        </w:rPr>
        <w:fldChar w:fldCharType="end"/>
      </w:r>
      <w:r w:rsidR="00D2163F" w:rsidRPr="00C2548D">
        <w:rPr>
          <w:lang w:val="fr-FR"/>
        </w:rPr>
        <w:t>.  </w:t>
      </w:r>
      <w:r w:rsidR="003F268E" w:rsidRPr="00C2548D">
        <w:rPr>
          <w:rFonts w:eastAsia="Calibri"/>
          <w:lang w:val="fr-FR"/>
        </w:rPr>
        <w:t>De plus</w:t>
      </w:r>
      <w:r w:rsidR="003E1600" w:rsidRPr="00C2548D">
        <w:rPr>
          <w:rFonts w:eastAsia="Calibri"/>
          <w:lang w:val="fr-FR"/>
        </w:rPr>
        <w:t>,</w:t>
      </w:r>
      <w:r w:rsidR="003F268E" w:rsidRPr="00C2548D">
        <w:rPr>
          <w:rFonts w:eastAsia="Calibri"/>
          <w:lang w:val="fr-FR"/>
        </w:rPr>
        <w:t xml:space="preserve"> </w:t>
      </w:r>
      <w:r w:rsidR="00E17583" w:rsidRPr="00C2548D">
        <w:rPr>
          <w:rFonts w:eastAsia="Calibri"/>
          <w:lang w:val="fr-FR"/>
        </w:rPr>
        <w:t>s</w:t>
      </w:r>
      <w:r>
        <w:rPr>
          <w:rFonts w:eastAsia="Calibri"/>
          <w:lang w:val="fr-FR"/>
        </w:rPr>
        <w:t>’</w:t>
      </w:r>
      <w:r w:rsidR="00E17583" w:rsidRPr="00C2548D">
        <w:rPr>
          <w:rFonts w:eastAsia="Calibri"/>
          <w:lang w:val="fr-FR"/>
        </w:rPr>
        <w:t>il est vrai que</w:t>
      </w:r>
      <w:r w:rsidR="003F268E" w:rsidRPr="00C2548D">
        <w:rPr>
          <w:rFonts w:eastAsia="Calibri"/>
          <w:lang w:val="fr-FR"/>
        </w:rPr>
        <w:t xml:space="preserve"> les rapports déposés par les services sociaux après la rencontre</w:t>
      </w:r>
      <w:r w:rsidR="000419D4" w:rsidRPr="00C2548D">
        <w:rPr>
          <w:rFonts w:eastAsia="Calibri"/>
          <w:lang w:val="fr-FR"/>
        </w:rPr>
        <w:t xml:space="preserve"> (§§ 20-23)</w:t>
      </w:r>
      <w:r w:rsidR="003F268E" w:rsidRPr="00C2548D">
        <w:rPr>
          <w:rFonts w:eastAsia="Calibri"/>
          <w:lang w:val="fr-FR"/>
        </w:rPr>
        <w:t xml:space="preserve"> faisaient état d</w:t>
      </w:r>
      <w:r>
        <w:rPr>
          <w:rFonts w:eastAsia="Calibri"/>
          <w:lang w:val="fr-FR"/>
        </w:rPr>
        <w:t>’</w:t>
      </w:r>
      <w:r w:rsidR="003F268E" w:rsidRPr="00C2548D">
        <w:rPr>
          <w:rFonts w:eastAsia="Calibri"/>
          <w:lang w:val="fr-FR"/>
        </w:rPr>
        <w:t>une situation difficile pour l</w:t>
      </w:r>
      <w:r>
        <w:rPr>
          <w:rFonts w:eastAsia="Calibri"/>
          <w:lang w:val="fr-FR"/>
        </w:rPr>
        <w:t>’</w:t>
      </w:r>
      <w:r w:rsidR="003F268E" w:rsidRPr="00C2548D">
        <w:rPr>
          <w:rFonts w:eastAsia="Calibri"/>
          <w:lang w:val="fr-FR"/>
        </w:rPr>
        <w:t>enfant</w:t>
      </w:r>
      <w:r w:rsidR="00E17583" w:rsidRPr="00C2548D">
        <w:rPr>
          <w:rFonts w:eastAsia="Calibri"/>
          <w:lang w:val="fr-FR"/>
        </w:rPr>
        <w:t xml:space="preserve">, </w:t>
      </w:r>
      <w:r w:rsidR="003F268E" w:rsidRPr="00C2548D">
        <w:rPr>
          <w:rFonts w:eastAsia="Calibri"/>
          <w:lang w:val="fr-FR"/>
        </w:rPr>
        <w:t xml:space="preserve">la Cour relève </w:t>
      </w:r>
      <w:r w:rsidR="00E17583" w:rsidRPr="00C2548D">
        <w:rPr>
          <w:rFonts w:eastAsia="Calibri"/>
          <w:lang w:val="fr-FR"/>
        </w:rPr>
        <w:t xml:space="preserve">toutefois </w:t>
      </w:r>
      <w:r w:rsidR="003F268E" w:rsidRPr="00C2548D">
        <w:rPr>
          <w:rFonts w:eastAsia="Calibri"/>
          <w:lang w:val="fr-FR"/>
        </w:rPr>
        <w:t xml:space="preserve">également que lesdits rapports </w:t>
      </w:r>
      <w:r w:rsidR="003F268E" w:rsidRPr="00C2548D">
        <w:rPr>
          <w:rFonts w:eastAsia="Calibri"/>
          <w:color w:val="000000"/>
          <w:lang w:val="fr-FR"/>
        </w:rPr>
        <w:t xml:space="preserve">ne se </w:t>
      </w:r>
      <w:r w:rsidR="00740792" w:rsidRPr="00C2548D">
        <w:rPr>
          <w:rFonts w:eastAsia="Calibri"/>
          <w:color w:val="000000"/>
          <w:lang w:val="fr-FR"/>
        </w:rPr>
        <w:t>fond</w:t>
      </w:r>
      <w:r w:rsidR="00093CCF" w:rsidRPr="00C2548D">
        <w:rPr>
          <w:rFonts w:eastAsia="Calibri"/>
          <w:color w:val="000000"/>
          <w:lang w:val="fr-FR"/>
        </w:rPr>
        <w:t>ai</w:t>
      </w:r>
      <w:r w:rsidR="00740792" w:rsidRPr="00C2548D">
        <w:rPr>
          <w:rFonts w:eastAsia="Calibri"/>
          <w:color w:val="000000"/>
          <w:lang w:val="fr-FR"/>
        </w:rPr>
        <w:t>ent</w:t>
      </w:r>
      <w:r w:rsidR="003F268E" w:rsidRPr="00C2548D">
        <w:rPr>
          <w:rFonts w:eastAsia="Calibri"/>
          <w:color w:val="000000"/>
          <w:lang w:val="fr-FR"/>
        </w:rPr>
        <w:t xml:space="preserve"> pas </w:t>
      </w:r>
      <w:r w:rsidR="009E4B46" w:rsidRPr="00C2548D">
        <w:rPr>
          <w:rFonts w:eastAsia="Calibri"/>
          <w:color w:val="000000"/>
          <w:lang w:val="fr-FR"/>
        </w:rPr>
        <w:t xml:space="preserve">toujours </w:t>
      </w:r>
      <w:r w:rsidR="003F268E" w:rsidRPr="00C2548D">
        <w:rPr>
          <w:rFonts w:eastAsia="Calibri"/>
          <w:color w:val="000000"/>
          <w:lang w:val="fr-FR"/>
        </w:rPr>
        <w:t xml:space="preserve">sur une observation directe de la situation </w:t>
      </w:r>
      <w:r w:rsidR="00740792" w:rsidRPr="00C2548D">
        <w:rPr>
          <w:rFonts w:eastAsia="Calibri"/>
          <w:color w:val="000000"/>
          <w:lang w:val="fr-FR"/>
        </w:rPr>
        <w:t>par l</w:t>
      </w:r>
      <w:r w:rsidR="003F268E" w:rsidRPr="00C2548D">
        <w:rPr>
          <w:rFonts w:eastAsia="Calibri"/>
          <w:color w:val="000000"/>
          <w:lang w:val="fr-FR"/>
        </w:rPr>
        <w:t>es experts</w:t>
      </w:r>
      <w:r w:rsidR="00284260" w:rsidRPr="00C2548D">
        <w:rPr>
          <w:rFonts w:eastAsia="Calibri"/>
          <w:color w:val="000000"/>
          <w:lang w:val="fr-FR"/>
        </w:rPr>
        <w:t>,</w:t>
      </w:r>
      <w:r w:rsidR="003F268E" w:rsidRPr="00C2548D">
        <w:rPr>
          <w:rFonts w:eastAsia="Calibri"/>
          <w:color w:val="000000"/>
          <w:lang w:val="fr-FR"/>
        </w:rPr>
        <w:t xml:space="preserve"> mais </w:t>
      </w:r>
      <w:r w:rsidR="003F268E" w:rsidRPr="00C2548D">
        <w:rPr>
          <w:rFonts w:eastAsia="Calibri"/>
          <w:lang w:val="fr-FR"/>
        </w:rPr>
        <w:t xml:space="preserve">se </w:t>
      </w:r>
      <w:r w:rsidR="003F268E" w:rsidRPr="00C2548D">
        <w:rPr>
          <w:rFonts w:eastAsia="Calibri"/>
          <w:color w:val="000000"/>
          <w:lang w:val="fr-FR"/>
        </w:rPr>
        <w:t>réf</w:t>
      </w:r>
      <w:r w:rsidR="00EB0A3F" w:rsidRPr="00C2548D">
        <w:rPr>
          <w:rFonts w:eastAsia="Calibri"/>
          <w:color w:val="000000"/>
          <w:lang w:val="fr-FR"/>
        </w:rPr>
        <w:t>é</w:t>
      </w:r>
      <w:r w:rsidR="003F268E" w:rsidRPr="00C2548D">
        <w:rPr>
          <w:rFonts w:eastAsia="Calibri"/>
          <w:color w:val="000000"/>
          <w:lang w:val="fr-FR"/>
        </w:rPr>
        <w:t>r</w:t>
      </w:r>
      <w:r w:rsidR="00093CCF" w:rsidRPr="00C2548D">
        <w:rPr>
          <w:rFonts w:eastAsia="Calibri"/>
          <w:color w:val="000000"/>
          <w:lang w:val="fr-FR"/>
        </w:rPr>
        <w:t>ai</w:t>
      </w:r>
      <w:r w:rsidR="003F268E" w:rsidRPr="00C2548D">
        <w:rPr>
          <w:rFonts w:eastAsia="Calibri"/>
          <w:color w:val="000000"/>
          <w:lang w:val="fr-FR"/>
        </w:rPr>
        <w:t>ent</w:t>
      </w:r>
      <w:r w:rsidR="003F268E" w:rsidRPr="00C2548D">
        <w:rPr>
          <w:rFonts w:eastAsia="Calibri"/>
          <w:lang w:val="fr-FR"/>
        </w:rPr>
        <w:t xml:space="preserve"> en grande partie</w:t>
      </w:r>
      <w:r w:rsidR="003F268E" w:rsidRPr="00C2548D">
        <w:rPr>
          <w:rFonts w:eastAsia="Calibri"/>
          <w:color w:val="000000"/>
          <w:lang w:val="fr-FR"/>
        </w:rPr>
        <w:t xml:space="preserve"> aux</w:t>
      </w:r>
      <w:r w:rsidR="003F268E" w:rsidRPr="00C2548D">
        <w:rPr>
          <w:rFonts w:eastAsia="Calibri"/>
          <w:lang w:val="fr-FR"/>
        </w:rPr>
        <w:t xml:space="preserve"> affirmations de la famille d</w:t>
      </w:r>
      <w:r>
        <w:rPr>
          <w:rFonts w:eastAsia="Calibri"/>
          <w:lang w:val="fr-FR"/>
        </w:rPr>
        <w:t>’</w:t>
      </w:r>
      <w:r w:rsidR="003F268E" w:rsidRPr="00C2548D">
        <w:rPr>
          <w:rFonts w:eastAsia="Calibri"/>
          <w:lang w:val="fr-FR"/>
        </w:rPr>
        <w:t>accueil de l</w:t>
      </w:r>
      <w:r>
        <w:rPr>
          <w:rFonts w:eastAsia="Calibri"/>
          <w:lang w:val="fr-FR"/>
        </w:rPr>
        <w:t>’</w:t>
      </w:r>
      <w:r w:rsidR="003F268E" w:rsidRPr="00C2548D">
        <w:rPr>
          <w:rFonts w:eastAsia="Calibri"/>
          <w:lang w:val="fr-FR"/>
        </w:rPr>
        <w:t>enfant.</w:t>
      </w:r>
    </w:p>
    <w:p w:rsidR="00EE7AA0"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72</w:t>
      </w:r>
      <w:r>
        <w:rPr>
          <w:noProof/>
        </w:rPr>
        <w:fldChar w:fldCharType="end"/>
      </w:r>
      <w:r w:rsidR="000C28DE" w:rsidRPr="00C2548D">
        <w:rPr>
          <w:lang w:val="fr-FR"/>
        </w:rPr>
        <w:t>.  </w:t>
      </w:r>
      <w:r w:rsidR="009B2E37" w:rsidRPr="00C2548D">
        <w:rPr>
          <w:lang w:val="fr-FR"/>
        </w:rPr>
        <w:t>Le 23 janvier 2014</w:t>
      </w:r>
      <w:r w:rsidR="00EE7AA0" w:rsidRPr="00C2548D">
        <w:rPr>
          <w:lang w:val="fr-FR"/>
        </w:rPr>
        <w:t xml:space="preserve">, </w:t>
      </w:r>
      <w:r w:rsidR="000C28DE" w:rsidRPr="00C2548D">
        <w:rPr>
          <w:lang w:val="fr-FR"/>
        </w:rPr>
        <w:t xml:space="preserve">le tribunal </w:t>
      </w:r>
      <w:r w:rsidR="00231EB0" w:rsidRPr="00C2548D">
        <w:rPr>
          <w:lang w:val="fr-FR"/>
        </w:rPr>
        <w:t xml:space="preserve">a décidé </w:t>
      </w:r>
      <w:r w:rsidR="000C28DE" w:rsidRPr="00C2548D">
        <w:rPr>
          <w:lang w:val="fr-FR"/>
        </w:rPr>
        <w:t>de déclarer l</w:t>
      </w:r>
      <w:r>
        <w:rPr>
          <w:lang w:val="fr-FR"/>
        </w:rPr>
        <w:t>’</w:t>
      </w:r>
      <w:r w:rsidR="000C28DE" w:rsidRPr="00C2548D">
        <w:rPr>
          <w:lang w:val="fr-FR"/>
        </w:rPr>
        <w:t xml:space="preserve">enfant adoptable. Le tribunal </w:t>
      </w:r>
      <w:r w:rsidR="00231EB0" w:rsidRPr="00C2548D">
        <w:rPr>
          <w:lang w:val="fr-FR"/>
        </w:rPr>
        <w:t>a jugé</w:t>
      </w:r>
      <w:r w:rsidR="000C28DE" w:rsidRPr="00C2548D">
        <w:rPr>
          <w:lang w:val="fr-FR"/>
        </w:rPr>
        <w:t xml:space="preserve"> que le requérant n</w:t>
      </w:r>
      <w:r>
        <w:rPr>
          <w:lang w:val="fr-FR"/>
        </w:rPr>
        <w:t>’</w:t>
      </w:r>
      <w:r w:rsidR="000C28DE" w:rsidRPr="00C2548D">
        <w:rPr>
          <w:lang w:val="fr-FR"/>
        </w:rPr>
        <w:t>était pas en mesure de s</w:t>
      </w:r>
      <w:r>
        <w:rPr>
          <w:lang w:val="fr-FR"/>
        </w:rPr>
        <w:t>’</w:t>
      </w:r>
      <w:r w:rsidR="000C28DE" w:rsidRPr="00C2548D">
        <w:rPr>
          <w:lang w:val="fr-FR"/>
        </w:rPr>
        <w:t>occuper de l</w:t>
      </w:r>
      <w:r>
        <w:rPr>
          <w:lang w:val="fr-FR"/>
        </w:rPr>
        <w:t>’</w:t>
      </w:r>
      <w:r w:rsidR="0027608B" w:rsidRPr="00C2548D">
        <w:rPr>
          <w:lang w:val="fr-FR"/>
        </w:rPr>
        <w:t>enfant</w:t>
      </w:r>
      <w:r w:rsidR="000C28DE" w:rsidRPr="00C2548D">
        <w:rPr>
          <w:lang w:val="fr-FR"/>
        </w:rPr>
        <w:t xml:space="preserve"> et de comprendre ses besoins. </w:t>
      </w:r>
      <w:r w:rsidR="00231EB0" w:rsidRPr="00C2548D">
        <w:rPr>
          <w:lang w:val="fr-FR"/>
        </w:rPr>
        <w:t>Il a en outre noté que</w:t>
      </w:r>
      <w:r w:rsidR="000C28DE" w:rsidRPr="00C2548D">
        <w:rPr>
          <w:lang w:val="fr-FR"/>
        </w:rPr>
        <w:t xml:space="preserve"> dans les deux lettres </w:t>
      </w:r>
      <w:r w:rsidR="00231EB0" w:rsidRPr="00C2548D">
        <w:rPr>
          <w:lang w:val="fr-FR"/>
        </w:rPr>
        <w:t>qu</w:t>
      </w:r>
      <w:r>
        <w:rPr>
          <w:lang w:val="fr-FR"/>
        </w:rPr>
        <w:t>’</w:t>
      </w:r>
      <w:r w:rsidR="00231EB0" w:rsidRPr="00C2548D">
        <w:rPr>
          <w:lang w:val="fr-FR"/>
        </w:rPr>
        <w:t>il</w:t>
      </w:r>
      <w:r w:rsidR="000C28DE" w:rsidRPr="00C2548D">
        <w:rPr>
          <w:lang w:val="fr-FR"/>
        </w:rPr>
        <w:t xml:space="preserve"> avait envoyées à sa fille, </w:t>
      </w:r>
      <w:r w:rsidR="00231EB0" w:rsidRPr="00C2548D">
        <w:rPr>
          <w:lang w:val="fr-FR"/>
        </w:rPr>
        <w:t>le requérant n</w:t>
      </w:r>
      <w:r>
        <w:rPr>
          <w:lang w:val="fr-FR"/>
        </w:rPr>
        <w:t>’</w:t>
      </w:r>
      <w:r w:rsidR="00231EB0" w:rsidRPr="00C2548D">
        <w:rPr>
          <w:lang w:val="fr-FR"/>
        </w:rPr>
        <w:t>avait pas exprimé l</w:t>
      </w:r>
      <w:r>
        <w:rPr>
          <w:lang w:val="fr-FR"/>
        </w:rPr>
        <w:t>’</w:t>
      </w:r>
      <w:r w:rsidR="00231EB0" w:rsidRPr="00C2548D">
        <w:rPr>
          <w:lang w:val="fr-FR"/>
        </w:rPr>
        <w:t>intention d</w:t>
      </w:r>
      <w:r>
        <w:rPr>
          <w:lang w:val="fr-FR"/>
        </w:rPr>
        <w:t>’</w:t>
      </w:r>
      <w:r w:rsidR="00231EB0" w:rsidRPr="00C2548D">
        <w:rPr>
          <w:lang w:val="fr-FR"/>
        </w:rPr>
        <w:t xml:space="preserve">en </w:t>
      </w:r>
      <w:r w:rsidR="000C28DE" w:rsidRPr="00C2548D">
        <w:rPr>
          <w:lang w:val="fr-FR"/>
        </w:rPr>
        <w:t xml:space="preserve">obtenir à nouveau </w:t>
      </w:r>
      <w:r w:rsidR="00231EB0" w:rsidRPr="00C2548D">
        <w:rPr>
          <w:lang w:val="fr-FR"/>
        </w:rPr>
        <w:t xml:space="preserve">la </w:t>
      </w:r>
      <w:r w:rsidR="000C28DE" w:rsidRPr="00C2548D">
        <w:rPr>
          <w:lang w:val="fr-FR"/>
        </w:rPr>
        <w:t xml:space="preserve">garde. Le tribunal </w:t>
      </w:r>
      <w:r w:rsidR="00231EB0" w:rsidRPr="00C2548D">
        <w:rPr>
          <w:lang w:val="fr-FR"/>
        </w:rPr>
        <w:t xml:space="preserve">a également </w:t>
      </w:r>
      <w:r w:rsidR="000C28DE" w:rsidRPr="00C2548D">
        <w:rPr>
          <w:lang w:val="fr-FR"/>
        </w:rPr>
        <w:t>reproch</w:t>
      </w:r>
      <w:r w:rsidR="00231EB0" w:rsidRPr="00C2548D">
        <w:rPr>
          <w:lang w:val="fr-FR"/>
        </w:rPr>
        <w:t>é</w:t>
      </w:r>
      <w:r w:rsidR="000C28DE" w:rsidRPr="00C2548D">
        <w:rPr>
          <w:lang w:val="fr-FR"/>
        </w:rPr>
        <w:t xml:space="preserve"> au requérant d</w:t>
      </w:r>
      <w:r>
        <w:rPr>
          <w:lang w:val="fr-FR"/>
        </w:rPr>
        <w:t>’</w:t>
      </w:r>
      <w:r w:rsidR="000C28DE" w:rsidRPr="00C2548D">
        <w:rPr>
          <w:lang w:val="fr-FR"/>
        </w:rPr>
        <w:t>avoir emmené sa fille en Italie avec lui.</w:t>
      </w:r>
      <w:r w:rsidR="009E4B46" w:rsidRPr="00C2548D">
        <w:rPr>
          <w:lang w:val="fr-FR"/>
        </w:rPr>
        <w:t xml:space="preserve"> </w:t>
      </w:r>
      <w:r w:rsidR="00231EB0" w:rsidRPr="00C2548D">
        <w:rPr>
          <w:lang w:val="fr-FR"/>
        </w:rPr>
        <w:t>Il n</w:t>
      </w:r>
      <w:r>
        <w:rPr>
          <w:lang w:val="fr-FR"/>
        </w:rPr>
        <w:t>’</w:t>
      </w:r>
      <w:r w:rsidR="00231EB0" w:rsidRPr="00C2548D">
        <w:rPr>
          <w:lang w:val="fr-FR"/>
        </w:rPr>
        <w:t>a pas estimé</w:t>
      </w:r>
      <w:r w:rsidR="000C28DE" w:rsidRPr="00C2548D">
        <w:rPr>
          <w:lang w:val="fr-FR"/>
        </w:rPr>
        <w:t xml:space="preserve"> </w:t>
      </w:r>
      <w:r w:rsidR="007A7AB4" w:rsidRPr="00C2548D">
        <w:rPr>
          <w:lang w:val="fr-FR"/>
        </w:rPr>
        <w:t>nécessaire</w:t>
      </w:r>
      <w:r w:rsidR="000C28DE" w:rsidRPr="00C2548D">
        <w:rPr>
          <w:lang w:val="fr-FR"/>
        </w:rPr>
        <w:t xml:space="preserve"> d</w:t>
      </w:r>
      <w:r>
        <w:rPr>
          <w:lang w:val="fr-FR"/>
        </w:rPr>
        <w:t>’</w:t>
      </w:r>
      <w:r w:rsidR="000C28DE" w:rsidRPr="00C2548D">
        <w:rPr>
          <w:lang w:val="fr-FR"/>
        </w:rPr>
        <w:t>ordonner</w:t>
      </w:r>
      <w:r w:rsidR="00DA0CDA" w:rsidRPr="00C2548D">
        <w:rPr>
          <w:lang w:val="fr-FR"/>
        </w:rPr>
        <w:t xml:space="preserve"> une expertise </w:t>
      </w:r>
      <w:r w:rsidR="009B2E37" w:rsidRPr="00C2548D">
        <w:rPr>
          <w:lang w:val="fr-FR"/>
        </w:rPr>
        <w:t xml:space="preserve">pour vérifier </w:t>
      </w:r>
      <w:r w:rsidR="00231EB0" w:rsidRPr="00C2548D">
        <w:rPr>
          <w:lang w:val="fr-FR"/>
        </w:rPr>
        <w:t xml:space="preserve">si le requérant </w:t>
      </w:r>
      <w:r w:rsidR="00DA0CDA" w:rsidRPr="00C2548D">
        <w:rPr>
          <w:lang w:val="fr-FR"/>
        </w:rPr>
        <w:t>était capa</w:t>
      </w:r>
      <w:r w:rsidR="009B2E37" w:rsidRPr="00C2548D">
        <w:rPr>
          <w:lang w:val="fr-FR"/>
        </w:rPr>
        <w:t>ble d</w:t>
      </w:r>
      <w:r>
        <w:rPr>
          <w:lang w:val="fr-FR"/>
        </w:rPr>
        <w:t>’</w:t>
      </w:r>
      <w:r w:rsidR="009B2E37" w:rsidRPr="00C2548D">
        <w:rPr>
          <w:lang w:val="fr-FR"/>
        </w:rPr>
        <w:t>exercer son rôle parental</w:t>
      </w:r>
      <w:r w:rsidR="009E4B46" w:rsidRPr="00C2548D">
        <w:rPr>
          <w:lang w:val="fr-FR"/>
        </w:rPr>
        <w:t xml:space="preserve"> ou</w:t>
      </w:r>
      <w:r w:rsidR="00DA0CDA" w:rsidRPr="00C2548D">
        <w:rPr>
          <w:lang w:val="fr-FR"/>
        </w:rPr>
        <w:t xml:space="preserve"> s</w:t>
      </w:r>
      <w:r w:rsidR="00231EB0" w:rsidRPr="00C2548D">
        <w:rPr>
          <w:lang w:val="fr-FR"/>
        </w:rPr>
        <w:t>i sa relation avec l</w:t>
      </w:r>
      <w:r>
        <w:rPr>
          <w:lang w:val="fr-FR"/>
        </w:rPr>
        <w:t>’</w:t>
      </w:r>
      <w:r w:rsidR="00231EB0" w:rsidRPr="00C2548D">
        <w:rPr>
          <w:lang w:val="fr-FR"/>
        </w:rPr>
        <w:t xml:space="preserve">enfant était marquée par </w:t>
      </w:r>
      <w:r w:rsidR="00DA0CDA" w:rsidRPr="00C2548D">
        <w:rPr>
          <w:lang w:val="fr-FR"/>
        </w:rPr>
        <w:t>un déficit affectif.</w:t>
      </w:r>
    </w:p>
    <w:p w:rsidR="00841355" w:rsidRPr="00C2548D" w:rsidRDefault="00C2548D" w:rsidP="00841355">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73</w:t>
      </w:r>
      <w:r>
        <w:rPr>
          <w:noProof/>
        </w:rPr>
        <w:fldChar w:fldCharType="end"/>
      </w:r>
      <w:r w:rsidR="00841355" w:rsidRPr="00C2548D">
        <w:rPr>
          <w:lang w:val="fr-FR"/>
        </w:rPr>
        <w:t>.  La cour d</w:t>
      </w:r>
      <w:r>
        <w:rPr>
          <w:lang w:val="fr-FR"/>
        </w:rPr>
        <w:t>’</w:t>
      </w:r>
      <w:r w:rsidR="00841355" w:rsidRPr="00C2548D">
        <w:rPr>
          <w:lang w:val="fr-FR"/>
        </w:rPr>
        <w:t xml:space="preserve">appel </w:t>
      </w:r>
      <w:r w:rsidR="00231EB0" w:rsidRPr="00C2548D">
        <w:rPr>
          <w:lang w:val="fr-FR"/>
        </w:rPr>
        <w:t xml:space="preserve">a confirmé </w:t>
      </w:r>
      <w:r w:rsidR="00841355" w:rsidRPr="00C2548D">
        <w:rPr>
          <w:lang w:val="fr-FR"/>
        </w:rPr>
        <w:t xml:space="preserve">le jugement du tribunal. Elle </w:t>
      </w:r>
      <w:r w:rsidR="00231EB0" w:rsidRPr="00C2548D">
        <w:rPr>
          <w:lang w:val="fr-FR"/>
        </w:rPr>
        <w:t>n</w:t>
      </w:r>
      <w:r>
        <w:rPr>
          <w:lang w:val="fr-FR"/>
        </w:rPr>
        <w:t>’</w:t>
      </w:r>
      <w:r w:rsidR="00231EB0" w:rsidRPr="00C2548D">
        <w:rPr>
          <w:lang w:val="fr-FR"/>
        </w:rPr>
        <w:t>a</w:t>
      </w:r>
      <w:r w:rsidR="00841355" w:rsidRPr="00C2548D">
        <w:rPr>
          <w:lang w:val="fr-FR"/>
        </w:rPr>
        <w:t xml:space="preserve"> pas</w:t>
      </w:r>
      <w:r w:rsidR="00231EB0" w:rsidRPr="00C2548D">
        <w:rPr>
          <w:lang w:val="fr-FR"/>
        </w:rPr>
        <w:t xml:space="preserve"> pris</w:t>
      </w:r>
      <w:r w:rsidR="00841355" w:rsidRPr="00C2548D">
        <w:rPr>
          <w:lang w:val="fr-FR"/>
        </w:rPr>
        <w:t xml:space="preserve"> en considération </w:t>
      </w:r>
      <w:r w:rsidR="00231EB0" w:rsidRPr="00C2548D">
        <w:rPr>
          <w:lang w:val="fr-FR"/>
        </w:rPr>
        <w:t>l</w:t>
      </w:r>
      <w:r>
        <w:rPr>
          <w:lang w:val="fr-FR"/>
        </w:rPr>
        <w:t>’</w:t>
      </w:r>
      <w:r w:rsidR="00231EB0" w:rsidRPr="00C2548D">
        <w:rPr>
          <w:lang w:val="fr-FR"/>
        </w:rPr>
        <w:t xml:space="preserve">évolution de </w:t>
      </w:r>
      <w:r w:rsidR="00841355" w:rsidRPr="00C2548D">
        <w:rPr>
          <w:lang w:val="fr-FR"/>
        </w:rPr>
        <w:t xml:space="preserve">la situation du requérant, </w:t>
      </w:r>
      <w:r w:rsidR="002A0185" w:rsidRPr="00C2548D">
        <w:rPr>
          <w:lang w:val="fr-FR"/>
        </w:rPr>
        <w:t>ni estimé elle non plus</w:t>
      </w:r>
      <w:r w:rsidR="00841355" w:rsidRPr="00C2548D">
        <w:rPr>
          <w:lang w:val="fr-FR"/>
        </w:rPr>
        <w:t xml:space="preserve"> </w:t>
      </w:r>
      <w:r w:rsidR="007A7AB4" w:rsidRPr="00C2548D">
        <w:rPr>
          <w:lang w:val="fr-FR"/>
        </w:rPr>
        <w:t>nécessaire</w:t>
      </w:r>
      <w:r w:rsidR="00841355" w:rsidRPr="00C2548D">
        <w:rPr>
          <w:lang w:val="fr-FR"/>
        </w:rPr>
        <w:t xml:space="preserve"> d</w:t>
      </w:r>
      <w:r>
        <w:rPr>
          <w:lang w:val="fr-FR"/>
        </w:rPr>
        <w:t>’</w:t>
      </w:r>
      <w:r w:rsidR="00841355" w:rsidRPr="00C2548D">
        <w:rPr>
          <w:lang w:val="fr-FR"/>
        </w:rPr>
        <w:t>ordonner une expertise sur les capacités parentale</w:t>
      </w:r>
      <w:r w:rsidR="00740792" w:rsidRPr="00C2548D">
        <w:rPr>
          <w:lang w:val="fr-FR"/>
        </w:rPr>
        <w:t>s</w:t>
      </w:r>
      <w:r w:rsidR="00841355" w:rsidRPr="00C2548D">
        <w:rPr>
          <w:lang w:val="fr-FR"/>
        </w:rPr>
        <w:t xml:space="preserve"> du requérant, mais </w:t>
      </w:r>
      <w:r w:rsidR="002A0185" w:rsidRPr="00C2548D">
        <w:rPr>
          <w:lang w:val="fr-FR"/>
        </w:rPr>
        <w:t>a néanmoins jugé</w:t>
      </w:r>
      <w:r w:rsidR="00841355" w:rsidRPr="00C2548D">
        <w:rPr>
          <w:lang w:val="fr-FR"/>
        </w:rPr>
        <w:t xml:space="preserve"> </w:t>
      </w:r>
      <w:r w:rsidR="009B2E37" w:rsidRPr="00C2548D">
        <w:rPr>
          <w:lang w:val="fr-FR"/>
        </w:rPr>
        <w:t>q</w:t>
      </w:r>
      <w:r w:rsidR="009E4B46" w:rsidRPr="00C2548D">
        <w:rPr>
          <w:lang w:val="fr-FR"/>
        </w:rPr>
        <w:t>ue ce dernier</w:t>
      </w:r>
      <w:r w:rsidR="00841355" w:rsidRPr="00C2548D">
        <w:rPr>
          <w:lang w:val="fr-FR"/>
        </w:rPr>
        <w:t xml:space="preserve"> </w:t>
      </w:r>
      <w:r w:rsidR="007A7AB4" w:rsidRPr="00C2548D">
        <w:rPr>
          <w:lang w:val="fr-FR"/>
        </w:rPr>
        <w:t>n</w:t>
      </w:r>
      <w:r>
        <w:rPr>
          <w:lang w:val="fr-FR"/>
        </w:rPr>
        <w:t>’</w:t>
      </w:r>
      <w:r w:rsidR="007A7AB4" w:rsidRPr="00C2548D">
        <w:rPr>
          <w:lang w:val="fr-FR"/>
        </w:rPr>
        <w:t>était</w:t>
      </w:r>
      <w:r w:rsidR="00841355" w:rsidRPr="00C2548D">
        <w:rPr>
          <w:lang w:val="fr-FR"/>
        </w:rPr>
        <w:t xml:space="preserve"> pas en mesure d</w:t>
      </w:r>
      <w:r>
        <w:rPr>
          <w:lang w:val="fr-FR"/>
        </w:rPr>
        <w:t>’</w:t>
      </w:r>
      <w:r w:rsidR="00841355" w:rsidRPr="00C2548D">
        <w:rPr>
          <w:lang w:val="fr-FR"/>
        </w:rPr>
        <w:t xml:space="preserve">exercer son rôle de </w:t>
      </w:r>
      <w:r w:rsidR="00DA0CDA" w:rsidRPr="00C2548D">
        <w:rPr>
          <w:lang w:val="fr-FR"/>
        </w:rPr>
        <w:t>père</w:t>
      </w:r>
      <w:r w:rsidR="002A0185" w:rsidRPr="00C2548D">
        <w:rPr>
          <w:lang w:val="fr-FR"/>
        </w:rPr>
        <w:t>,</w:t>
      </w:r>
      <w:r w:rsidR="00841355" w:rsidRPr="00C2548D">
        <w:rPr>
          <w:lang w:val="fr-FR"/>
        </w:rPr>
        <w:t xml:space="preserve"> en se </w:t>
      </w:r>
      <w:r w:rsidR="002A0185" w:rsidRPr="00C2548D">
        <w:rPr>
          <w:lang w:val="fr-FR"/>
        </w:rPr>
        <w:t xml:space="preserve">fondant essentiellement </w:t>
      </w:r>
      <w:r w:rsidR="00EE069C" w:rsidRPr="00C2548D">
        <w:rPr>
          <w:lang w:val="fr-FR"/>
        </w:rPr>
        <w:t xml:space="preserve">sur </w:t>
      </w:r>
      <w:r w:rsidR="009B2E37" w:rsidRPr="00C2548D">
        <w:rPr>
          <w:lang w:val="fr-FR"/>
        </w:rPr>
        <w:t>les rapports</w:t>
      </w:r>
      <w:r w:rsidR="00841355" w:rsidRPr="00C2548D">
        <w:rPr>
          <w:lang w:val="fr-FR"/>
        </w:rPr>
        <w:t xml:space="preserve"> que les services </w:t>
      </w:r>
      <w:r w:rsidR="00F93C8B" w:rsidRPr="00C2548D">
        <w:rPr>
          <w:lang w:val="fr-FR"/>
        </w:rPr>
        <w:t>sociaux</w:t>
      </w:r>
      <w:r w:rsidR="00DA0CDA" w:rsidRPr="00C2548D">
        <w:rPr>
          <w:lang w:val="fr-FR"/>
        </w:rPr>
        <w:t xml:space="preserve"> avaient</w:t>
      </w:r>
      <w:r w:rsidR="00841355" w:rsidRPr="00C2548D">
        <w:rPr>
          <w:lang w:val="fr-FR"/>
        </w:rPr>
        <w:t xml:space="preserve"> </w:t>
      </w:r>
      <w:r w:rsidR="00EE069C" w:rsidRPr="00C2548D">
        <w:rPr>
          <w:lang w:val="fr-FR"/>
        </w:rPr>
        <w:t>préparés</w:t>
      </w:r>
      <w:r w:rsidR="009B2E37" w:rsidRPr="00C2548D">
        <w:rPr>
          <w:lang w:val="fr-FR"/>
        </w:rPr>
        <w:t xml:space="preserve"> </w:t>
      </w:r>
      <w:r w:rsidR="00EE069C" w:rsidRPr="00C2548D">
        <w:rPr>
          <w:lang w:val="fr-FR"/>
        </w:rPr>
        <w:t>en 2009</w:t>
      </w:r>
      <w:r w:rsidR="00841355" w:rsidRPr="00C2548D">
        <w:rPr>
          <w:lang w:val="fr-FR"/>
        </w:rPr>
        <w:t>.</w:t>
      </w:r>
      <w:r w:rsidR="00EA02C7" w:rsidRPr="00C2548D">
        <w:rPr>
          <w:lang w:val="fr-FR"/>
        </w:rPr>
        <w:t xml:space="preserve"> </w:t>
      </w:r>
      <w:r w:rsidR="000419D4" w:rsidRPr="00C2548D">
        <w:rPr>
          <w:lang w:val="fr-FR"/>
        </w:rPr>
        <w:t>La</w:t>
      </w:r>
      <w:r w:rsidR="00EA02C7" w:rsidRPr="00C2548D">
        <w:rPr>
          <w:lang w:val="fr-FR"/>
        </w:rPr>
        <w:t xml:space="preserve"> cour d</w:t>
      </w:r>
      <w:r>
        <w:rPr>
          <w:lang w:val="fr-FR"/>
        </w:rPr>
        <w:t>’</w:t>
      </w:r>
      <w:r w:rsidR="00EA02C7" w:rsidRPr="00C2548D">
        <w:rPr>
          <w:lang w:val="fr-FR"/>
        </w:rPr>
        <w:t xml:space="preserve">appel </w:t>
      </w:r>
      <w:r w:rsidR="002A0185" w:rsidRPr="00C2548D">
        <w:rPr>
          <w:lang w:val="fr-FR"/>
        </w:rPr>
        <w:t xml:space="preserve">a retenu </w:t>
      </w:r>
      <w:r w:rsidR="00EA02C7" w:rsidRPr="00C2548D">
        <w:rPr>
          <w:lang w:val="fr-FR"/>
        </w:rPr>
        <w:t xml:space="preserve">que le requérant avait </w:t>
      </w:r>
      <w:r w:rsidR="002A0185" w:rsidRPr="00C2548D">
        <w:rPr>
          <w:lang w:val="fr-FR"/>
        </w:rPr>
        <w:t>une attitude</w:t>
      </w:r>
      <w:r w:rsidR="00EA02C7" w:rsidRPr="00C2548D">
        <w:rPr>
          <w:lang w:val="fr-FR"/>
        </w:rPr>
        <w:t xml:space="preserve"> autoritaire (</w:t>
      </w:r>
      <w:r w:rsidR="00EA02C7" w:rsidRPr="00C2548D">
        <w:rPr>
          <w:i/>
          <w:lang w:val="fr-FR"/>
        </w:rPr>
        <w:t>padre padrone</w:t>
      </w:r>
      <w:r w:rsidR="00316B20" w:rsidRPr="00C2548D">
        <w:rPr>
          <w:lang w:val="fr-FR"/>
        </w:rPr>
        <w:t xml:space="preserve">) </w:t>
      </w:r>
      <w:r w:rsidR="002A0185" w:rsidRPr="00C2548D">
        <w:rPr>
          <w:lang w:val="fr-FR"/>
        </w:rPr>
        <w:t>en relevant que</w:t>
      </w:r>
      <w:r w:rsidR="00316B20" w:rsidRPr="00C2548D">
        <w:rPr>
          <w:lang w:val="fr-FR"/>
        </w:rPr>
        <w:t>, une fois sorti</w:t>
      </w:r>
      <w:r w:rsidR="00EA02C7" w:rsidRPr="00C2548D">
        <w:rPr>
          <w:lang w:val="fr-FR"/>
        </w:rPr>
        <w:t xml:space="preserve"> de prison, il avait affirmé à plusieurs reprises qu</w:t>
      </w:r>
      <w:r>
        <w:rPr>
          <w:lang w:val="fr-FR"/>
        </w:rPr>
        <w:t>’</w:t>
      </w:r>
      <w:r w:rsidR="00EA02C7" w:rsidRPr="00C2548D">
        <w:rPr>
          <w:lang w:val="fr-FR"/>
        </w:rPr>
        <w:t>il n</w:t>
      </w:r>
      <w:r>
        <w:rPr>
          <w:lang w:val="fr-FR"/>
        </w:rPr>
        <w:t>’</w:t>
      </w:r>
      <w:r w:rsidR="00EA02C7" w:rsidRPr="00C2548D">
        <w:rPr>
          <w:lang w:val="fr-FR"/>
        </w:rPr>
        <w:t xml:space="preserve">était pas </w:t>
      </w:r>
      <w:r w:rsidR="00316B20" w:rsidRPr="00C2548D">
        <w:rPr>
          <w:lang w:val="fr-FR"/>
        </w:rPr>
        <w:t>prêt</w:t>
      </w:r>
      <w:r w:rsidR="00EA02C7" w:rsidRPr="00C2548D">
        <w:rPr>
          <w:lang w:val="fr-FR"/>
        </w:rPr>
        <w:t xml:space="preserve"> à prendre en considération d</w:t>
      </w:r>
      <w:r>
        <w:rPr>
          <w:lang w:val="fr-FR"/>
        </w:rPr>
        <w:t>’</w:t>
      </w:r>
      <w:r w:rsidR="00EA02C7" w:rsidRPr="00C2548D">
        <w:rPr>
          <w:lang w:val="fr-FR"/>
        </w:rPr>
        <w:t>autres solution</w:t>
      </w:r>
      <w:r w:rsidR="00316B20" w:rsidRPr="00C2548D">
        <w:rPr>
          <w:lang w:val="fr-FR"/>
        </w:rPr>
        <w:t>s</w:t>
      </w:r>
      <w:r w:rsidR="00EA02C7" w:rsidRPr="00C2548D">
        <w:rPr>
          <w:lang w:val="fr-FR"/>
        </w:rPr>
        <w:t xml:space="preserve"> concernant le placement de sa fille, </w:t>
      </w:r>
      <w:r w:rsidR="002A0185" w:rsidRPr="00C2548D">
        <w:rPr>
          <w:lang w:val="fr-FR"/>
        </w:rPr>
        <w:t>en déclarant</w:t>
      </w:r>
      <w:r w:rsidR="00EA02C7" w:rsidRPr="00C2548D">
        <w:rPr>
          <w:lang w:val="fr-FR"/>
        </w:rPr>
        <w:t xml:space="preserve"> que </w:t>
      </w:r>
      <w:r w:rsidR="002A0185" w:rsidRPr="00C2548D">
        <w:rPr>
          <w:lang w:val="fr-FR"/>
        </w:rPr>
        <w:t>« </w:t>
      </w:r>
      <w:r w:rsidR="00EA02C7" w:rsidRPr="00C2548D">
        <w:rPr>
          <w:lang w:val="fr-FR"/>
        </w:rPr>
        <w:t>les enfants appartiennent aux parents</w:t>
      </w:r>
      <w:r w:rsidR="00316B20" w:rsidRPr="00C2548D">
        <w:rPr>
          <w:lang w:val="fr-FR"/>
        </w:rPr>
        <w:t> ».</w:t>
      </w:r>
      <w:r w:rsidR="00841355" w:rsidRPr="00C2548D">
        <w:rPr>
          <w:lang w:val="fr-FR"/>
        </w:rPr>
        <w:t xml:space="preserve"> </w:t>
      </w:r>
      <w:r w:rsidR="009E4B46" w:rsidRPr="00C2548D">
        <w:rPr>
          <w:lang w:val="fr-FR"/>
        </w:rPr>
        <w:t xml:space="preserve">Selon la cour </w:t>
      </w:r>
      <w:r w:rsidR="00316B20" w:rsidRPr="00C2548D">
        <w:rPr>
          <w:lang w:val="fr-FR"/>
        </w:rPr>
        <w:t>d</w:t>
      </w:r>
      <w:r>
        <w:rPr>
          <w:lang w:val="fr-FR"/>
        </w:rPr>
        <w:t>’</w:t>
      </w:r>
      <w:r w:rsidR="00316B20" w:rsidRPr="00C2548D">
        <w:rPr>
          <w:lang w:val="fr-FR"/>
        </w:rPr>
        <w:t xml:space="preserve">appel, </w:t>
      </w:r>
      <w:r w:rsidR="009E4B46" w:rsidRPr="00C2548D">
        <w:rPr>
          <w:lang w:val="fr-FR"/>
        </w:rPr>
        <w:t>la déclaration d</w:t>
      </w:r>
      <w:r>
        <w:rPr>
          <w:lang w:val="fr-FR"/>
        </w:rPr>
        <w:t>’</w:t>
      </w:r>
      <w:r w:rsidR="009E4B46" w:rsidRPr="00C2548D">
        <w:rPr>
          <w:lang w:val="fr-FR"/>
        </w:rPr>
        <w:t>adoptabilité n</w:t>
      </w:r>
      <w:r>
        <w:rPr>
          <w:lang w:val="fr-FR"/>
        </w:rPr>
        <w:t>’</w:t>
      </w:r>
      <w:r w:rsidR="009E4B46" w:rsidRPr="00C2548D">
        <w:rPr>
          <w:lang w:val="fr-FR"/>
        </w:rPr>
        <w:t xml:space="preserve">avait </w:t>
      </w:r>
      <w:r w:rsidR="00B9594B" w:rsidRPr="00C2548D">
        <w:rPr>
          <w:lang w:val="fr-FR"/>
        </w:rPr>
        <w:t xml:space="preserve">elle-même </w:t>
      </w:r>
      <w:r w:rsidR="002A0185" w:rsidRPr="00C2548D">
        <w:rPr>
          <w:lang w:val="fr-FR"/>
        </w:rPr>
        <w:t xml:space="preserve">rompu </w:t>
      </w:r>
      <w:r w:rsidR="009E4B46" w:rsidRPr="00C2548D">
        <w:rPr>
          <w:lang w:val="fr-FR"/>
        </w:rPr>
        <w:t>aucun lien familial</w:t>
      </w:r>
      <w:r w:rsidR="002A0185" w:rsidRPr="00C2548D">
        <w:rPr>
          <w:lang w:val="fr-FR"/>
        </w:rPr>
        <w:t>, étant donné que</w:t>
      </w:r>
      <w:r w:rsidR="009E4B46" w:rsidRPr="00C2548D">
        <w:rPr>
          <w:lang w:val="fr-FR"/>
        </w:rPr>
        <w:t xml:space="preserve"> l</w:t>
      </w:r>
      <w:r>
        <w:rPr>
          <w:lang w:val="fr-FR"/>
        </w:rPr>
        <w:t>’</w:t>
      </w:r>
      <w:r w:rsidR="009E4B46" w:rsidRPr="00C2548D">
        <w:rPr>
          <w:lang w:val="fr-FR"/>
        </w:rPr>
        <w:t>enfant</w:t>
      </w:r>
      <w:r w:rsidR="009A690C" w:rsidRPr="00C2548D">
        <w:rPr>
          <w:lang w:val="fr-FR"/>
        </w:rPr>
        <w:t>, en réponse aux questions des services sociaux,</w:t>
      </w:r>
      <w:r w:rsidR="009E4B46" w:rsidRPr="00C2548D">
        <w:rPr>
          <w:lang w:val="fr-FR"/>
        </w:rPr>
        <w:t xml:space="preserve"> avait refusé de se référer à son père biologique et à son expérience passée. </w:t>
      </w:r>
      <w:r w:rsidR="002A0185" w:rsidRPr="00C2548D">
        <w:rPr>
          <w:lang w:val="fr-FR"/>
        </w:rPr>
        <w:t>À ses yeux, l</w:t>
      </w:r>
      <w:r>
        <w:rPr>
          <w:lang w:val="fr-FR"/>
        </w:rPr>
        <w:t>’</w:t>
      </w:r>
      <w:r w:rsidR="009E4B46" w:rsidRPr="00C2548D">
        <w:rPr>
          <w:lang w:val="fr-FR"/>
        </w:rPr>
        <w:t>enfant se trouvait donc dans un état d</w:t>
      </w:r>
      <w:r>
        <w:rPr>
          <w:lang w:val="fr-FR"/>
        </w:rPr>
        <w:t>’</w:t>
      </w:r>
      <w:r w:rsidR="009E4B46" w:rsidRPr="00C2548D">
        <w:rPr>
          <w:lang w:val="fr-FR"/>
        </w:rPr>
        <w:t>abandon, le père ne pouvant pas assurer les soins nécessaires.</w:t>
      </w:r>
    </w:p>
    <w:p w:rsidR="003442AD" w:rsidRPr="00C2548D" w:rsidRDefault="009E4B46" w:rsidP="000E6D7E">
      <w:pPr>
        <w:pStyle w:val="ECHRPara"/>
        <w:rPr>
          <w:rFonts w:eastAsia="Calibri"/>
          <w:lang w:val="fr-FR"/>
        </w:rPr>
      </w:pPr>
      <w:r>
        <w:rPr>
          <w:rFonts w:eastAsia="Calibri"/>
        </w:rPr>
        <w:fldChar w:fldCharType="begin"/>
      </w:r>
      <w:r w:rsidRPr="00C2548D">
        <w:rPr>
          <w:rFonts w:eastAsia="Calibri"/>
          <w:lang w:val="fr-FR"/>
        </w:rPr>
        <w:instrText xml:space="preserve"> SEQ level0 \*arabic </w:instrText>
      </w:r>
      <w:r>
        <w:rPr>
          <w:rFonts w:eastAsia="Calibri"/>
        </w:rPr>
        <w:fldChar w:fldCharType="separate"/>
      </w:r>
      <w:r w:rsidR="00205039" w:rsidRPr="00C2548D">
        <w:rPr>
          <w:rFonts w:eastAsia="Calibri"/>
          <w:noProof/>
          <w:lang w:val="fr-FR"/>
        </w:rPr>
        <w:t>74</w:t>
      </w:r>
      <w:r>
        <w:rPr>
          <w:rFonts w:eastAsia="Calibri"/>
        </w:rPr>
        <w:fldChar w:fldCharType="end"/>
      </w:r>
      <w:r w:rsidRPr="00C2548D">
        <w:rPr>
          <w:rFonts w:eastAsia="Calibri"/>
          <w:lang w:val="fr-FR"/>
        </w:rPr>
        <w:t>.  </w:t>
      </w:r>
      <w:r w:rsidR="003F268E" w:rsidRPr="00C2548D">
        <w:rPr>
          <w:rFonts w:eastAsia="Calibri"/>
          <w:lang w:val="fr-FR"/>
        </w:rPr>
        <w:t xml:space="preserve">La Cour </w:t>
      </w:r>
      <w:r w:rsidR="009A690C" w:rsidRPr="00C2548D">
        <w:rPr>
          <w:rFonts w:eastAsia="Calibri"/>
          <w:lang w:val="fr-FR"/>
        </w:rPr>
        <w:t xml:space="preserve">estime </w:t>
      </w:r>
      <w:r w:rsidR="00EE069C" w:rsidRPr="00C2548D">
        <w:rPr>
          <w:rFonts w:eastAsia="Calibri"/>
          <w:lang w:val="fr-FR"/>
        </w:rPr>
        <w:t>tout d</w:t>
      </w:r>
      <w:r w:rsidR="00C2548D">
        <w:rPr>
          <w:rFonts w:eastAsia="Calibri"/>
          <w:lang w:val="fr-FR"/>
        </w:rPr>
        <w:t>’</w:t>
      </w:r>
      <w:r w:rsidR="00EE069C" w:rsidRPr="00C2548D">
        <w:rPr>
          <w:rFonts w:eastAsia="Calibri"/>
          <w:lang w:val="fr-FR"/>
        </w:rPr>
        <w:t xml:space="preserve">abord que </w:t>
      </w:r>
      <w:r w:rsidR="003F268E" w:rsidRPr="00C2548D">
        <w:rPr>
          <w:rFonts w:eastAsia="Calibri"/>
          <w:lang w:val="fr-FR"/>
        </w:rPr>
        <w:t>les autorités nationales n</w:t>
      </w:r>
      <w:r w:rsidR="00C2548D">
        <w:rPr>
          <w:rFonts w:eastAsia="Calibri"/>
          <w:lang w:val="fr-FR"/>
        </w:rPr>
        <w:t>’</w:t>
      </w:r>
      <w:r w:rsidR="003F268E" w:rsidRPr="00C2548D">
        <w:rPr>
          <w:rFonts w:eastAsia="Calibri"/>
          <w:lang w:val="fr-FR"/>
        </w:rPr>
        <w:t>ont pas suffisamment œuvré afin de faciliter les contacts entre A. et le requérant.</w:t>
      </w:r>
    </w:p>
    <w:p w:rsidR="00EE7AA0" w:rsidRPr="00C2548D" w:rsidRDefault="00EE069C" w:rsidP="003F268E">
      <w:pPr>
        <w:pStyle w:val="ECHRPara"/>
        <w:rPr>
          <w:lang w:val="fr-FR"/>
        </w:rPr>
      </w:pPr>
      <w:r w:rsidRPr="00C2548D">
        <w:rPr>
          <w:lang w:val="fr-FR"/>
        </w:rPr>
        <w:t xml:space="preserve">Elle </w:t>
      </w:r>
      <w:r w:rsidR="00EE7AA0" w:rsidRPr="00C2548D">
        <w:rPr>
          <w:lang w:val="fr-FR"/>
        </w:rPr>
        <w:t>rappelle que dans des cas si délicats et complexes, la marge d</w:t>
      </w:r>
      <w:r w:rsidR="00C2548D">
        <w:rPr>
          <w:lang w:val="fr-FR"/>
        </w:rPr>
        <w:t>’</w:t>
      </w:r>
      <w:r w:rsidR="00EE7AA0" w:rsidRPr="00C2548D">
        <w:rPr>
          <w:lang w:val="fr-FR"/>
        </w:rPr>
        <w:t>appréciation laissée aux autorités nationales compétentes varie selon la nature des questions en litige et la gravité des intérêts en jeu. Si les autorités jouissent d</w:t>
      </w:r>
      <w:r w:rsidR="00C2548D">
        <w:rPr>
          <w:lang w:val="fr-FR"/>
        </w:rPr>
        <w:t>’</w:t>
      </w:r>
      <w:r w:rsidR="00EE7AA0" w:rsidRPr="00C2548D">
        <w:rPr>
          <w:lang w:val="fr-FR"/>
        </w:rPr>
        <w:t>une grande latitude pour apprécier la nécessité de prendre en charge un enfant, en particulier lorsqu</w:t>
      </w:r>
      <w:r w:rsidR="00C2548D">
        <w:rPr>
          <w:lang w:val="fr-FR"/>
        </w:rPr>
        <w:t>’</w:t>
      </w:r>
      <w:r w:rsidR="00EE7AA0" w:rsidRPr="00C2548D">
        <w:rPr>
          <w:lang w:val="fr-FR"/>
        </w:rPr>
        <w:t>il y a urgence, la Cour doit néanmoins avoir acquis la conviction que dans l</w:t>
      </w:r>
      <w:r w:rsidR="00C2548D">
        <w:rPr>
          <w:lang w:val="fr-FR"/>
        </w:rPr>
        <w:t>’</w:t>
      </w:r>
      <w:r w:rsidR="00EE7AA0" w:rsidRPr="00C2548D">
        <w:rPr>
          <w:lang w:val="fr-FR"/>
        </w:rPr>
        <w:t>affaire en question, il existait des circonstances justifiant le retrait de l</w:t>
      </w:r>
      <w:r w:rsidR="00C2548D">
        <w:rPr>
          <w:lang w:val="fr-FR"/>
        </w:rPr>
        <w:t>’</w:t>
      </w:r>
      <w:r w:rsidR="00EE7AA0" w:rsidRPr="00C2548D">
        <w:rPr>
          <w:lang w:val="fr-FR"/>
        </w:rPr>
        <w:t>enfant. Il incombe à l</w:t>
      </w:r>
      <w:r w:rsidR="00C2548D">
        <w:rPr>
          <w:lang w:val="fr-FR"/>
        </w:rPr>
        <w:t>’</w:t>
      </w:r>
      <w:r w:rsidR="00EE7AA0" w:rsidRPr="00C2548D">
        <w:rPr>
          <w:lang w:val="fr-FR"/>
        </w:rPr>
        <w:t>État défendeur d</w:t>
      </w:r>
      <w:r w:rsidR="00C2548D">
        <w:rPr>
          <w:lang w:val="fr-FR"/>
        </w:rPr>
        <w:t>’</w:t>
      </w:r>
      <w:r w:rsidR="00EE7AA0" w:rsidRPr="00C2548D">
        <w:rPr>
          <w:lang w:val="fr-FR"/>
        </w:rPr>
        <w:t>établir que les autorités ont évalué avec soin l</w:t>
      </w:r>
      <w:r w:rsidR="00C2548D">
        <w:rPr>
          <w:lang w:val="fr-FR"/>
        </w:rPr>
        <w:t>’</w:t>
      </w:r>
      <w:r w:rsidR="00EE7AA0" w:rsidRPr="00C2548D">
        <w:rPr>
          <w:lang w:val="fr-FR"/>
        </w:rPr>
        <w:t>incidence qu</w:t>
      </w:r>
      <w:r w:rsidR="00C2548D">
        <w:rPr>
          <w:lang w:val="fr-FR"/>
        </w:rPr>
        <w:t>’</w:t>
      </w:r>
      <w:r w:rsidR="00EE7AA0" w:rsidRPr="00C2548D">
        <w:rPr>
          <w:lang w:val="fr-FR"/>
        </w:rPr>
        <w:t>aurait sur les parents et l</w:t>
      </w:r>
      <w:r w:rsidR="00C2548D">
        <w:rPr>
          <w:lang w:val="fr-FR"/>
        </w:rPr>
        <w:t>’</w:t>
      </w:r>
      <w:r w:rsidR="00EE7AA0" w:rsidRPr="00C2548D">
        <w:rPr>
          <w:lang w:val="fr-FR"/>
        </w:rPr>
        <w:t>enfant la mesure d</w:t>
      </w:r>
      <w:r w:rsidR="00C2548D">
        <w:rPr>
          <w:lang w:val="fr-FR"/>
        </w:rPr>
        <w:t>’</w:t>
      </w:r>
      <w:r w:rsidR="00EE7AA0" w:rsidRPr="00C2548D">
        <w:rPr>
          <w:lang w:val="fr-FR"/>
        </w:rPr>
        <w:t xml:space="preserve">adoption, </w:t>
      </w:r>
      <w:r w:rsidR="00B9594B" w:rsidRPr="00C2548D">
        <w:rPr>
          <w:lang w:val="fr-FR"/>
        </w:rPr>
        <w:t>et envisagé</w:t>
      </w:r>
      <w:r w:rsidR="00EE7AA0" w:rsidRPr="00C2548D">
        <w:rPr>
          <w:lang w:val="fr-FR"/>
        </w:rPr>
        <w:t xml:space="preserve"> d</w:t>
      </w:r>
      <w:r w:rsidR="00C2548D">
        <w:rPr>
          <w:lang w:val="fr-FR"/>
        </w:rPr>
        <w:t>’</w:t>
      </w:r>
      <w:r w:rsidR="00EE7AA0" w:rsidRPr="00C2548D">
        <w:rPr>
          <w:lang w:val="fr-FR"/>
        </w:rPr>
        <w:t>autres solutions que la prise en charge de l</w:t>
      </w:r>
      <w:r w:rsidR="00C2548D">
        <w:rPr>
          <w:lang w:val="fr-FR"/>
        </w:rPr>
        <w:t>’</w:t>
      </w:r>
      <w:r w:rsidR="00EE7AA0" w:rsidRPr="00C2548D">
        <w:rPr>
          <w:lang w:val="fr-FR"/>
        </w:rPr>
        <w:t>enfant avant de mettre pareille mesure à exécution (</w:t>
      </w:r>
      <w:r w:rsidR="000B0DAD" w:rsidRPr="00C2548D">
        <w:rPr>
          <w:i/>
          <w:lang w:val="fr-FR"/>
        </w:rPr>
        <w:t>K. et T. c. Finlande</w:t>
      </w:r>
      <w:r w:rsidR="000B0DAD" w:rsidRPr="00C2548D">
        <w:rPr>
          <w:lang w:val="fr-FR"/>
        </w:rPr>
        <w:t xml:space="preserve"> [GC], n</w:t>
      </w:r>
      <w:r w:rsidR="000B0DAD" w:rsidRPr="00C2548D">
        <w:rPr>
          <w:vertAlign w:val="superscript"/>
          <w:lang w:val="fr-FR"/>
        </w:rPr>
        <w:t>o</w:t>
      </w:r>
      <w:r w:rsidR="000B0DAD" w:rsidRPr="00C2548D">
        <w:rPr>
          <w:lang w:val="fr-FR"/>
        </w:rPr>
        <w:t xml:space="preserve"> 25702/94, § 166, CEDH 2001</w:t>
      </w:r>
      <w:r w:rsidR="000B0DAD" w:rsidRPr="00C2548D">
        <w:rPr>
          <w:lang w:val="fr-FR"/>
        </w:rPr>
        <w:noBreakHyphen/>
        <w:t>VII</w:t>
      </w:r>
      <w:r w:rsidR="00B92E1D" w:rsidRPr="00C2548D">
        <w:rPr>
          <w:lang w:val="fr-FR"/>
        </w:rPr>
        <w:t> </w:t>
      </w:r>
      <w:r w:rsidR="00EE7AA0" w:rsidRPr="00C2548D">
        <w:rPr>
          <w:lang w:val="fr-FR"/>
        </w:rPr>
        <w:t xml:space="preserve">; </w:t>
      </w:r>
      <w:r w:rsidR="00EA02C7" w:rsidRPr="00C2548D">
        <w:rPr>
          <w:i/>
          <w:lang w:val="fr-FR"/>
        </w:rPr>
        <w:t>Kutzner</w:t>
      </w:r>
      <w:r w:rsidR="009E2E79" w:rsidRPr="00C2548D">
        <w:rPr>
          <w:lang w:val="fr-FR"/>
        </w:rPr>
        <w:t>, précité</w:t>
      </w:r>
      <w:r w:rsidR="00EA02C7" w:rsidRPr="00C2548D">
        <w:rPr>
          <w:lang w:val="fr-FR"/>
        </w:rPr>
        <w:t>).</w:t>
      </w:r>
    </w:p>
    <w:p w:rsidR="0097470A" w:rsidRPr="00C2548D" w:rsidRDefault="00C2548D" w:rsidP="0097470A">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75</w:t>
      </w:r>
      <w:r>
        <w:rPr>
          <w:noProof/>
        </w:rPr>
        <w:fldChar w:fldCharType="end"/>
      </w:r>
      <w:r w:rsidR="00EE069C" w:rsidRPr="00C2548D">
        <w:rPr>
          <w:lang w:val="fr-FR"/>
        </w:rPr>
        <w:t>.  </w:t>
      </w:r>
      <w:r w:rsidR="0097470A" w:rsidRPr="00C2548D">
        <w:rPr>
          <w:lang w:val="fr-FR"/>
        </w:rPr>
        <w:t>La Cour le répète avec force</w:t>
      </w:r>
      <w:r w:rsidR="00013C3B" w:rsidRPr="00C2548D">
        <w:rPr>
          <w:lang w:val="fr-FR"/>
        </w:rPr>
        <w:t> :</w:t>
      </w:r>
      <w:r w:rsidR="0097470A" w:rsidRPr="00C2548D">
        <w:rPr>
          <w:lang w:val="fr-FR"/>
        </w:rPr>
        <w:t xml:space="preserve"> dans les affaires de ce type, l</w:t>
      </w:r>
      <w:r>
        <w:rPr>
          <w:lang w:val="fr-FR"/>
        </w:rPr>
        <w:t>’</w:t>
      </w:r>
      <w:r w:rsidR="0097470A" w:rsidRPr="00C2548D">
        <w:rPr>
          <w:lang w:val="fr-FR"/>
        </w:rPr>
        <w:t>intérêt de l</w:t>
      </w:r>
      <w:r>
        <w:rPr>
          <w:lang w:val="fr-FR"/>
        </w:rPr>
        <w:t>’</w:t>
      </w:r>
      <w:r w:rsidR="0097470A" w:rsidRPr="00C2548D">
        <w:rPr>
          <w:lang w:val="fr-FR"/>
        </w:rPr>
        <w:t>enfant doit passer avant toute autre considération. Elle rappelle également qu</w:t>
      </w:r>
      <w:r>
        <w:rPr>
          <w:lang w:val="fr-FR"/>
        </w:rPr>
        <w:t>’</w:t>
      </w:r>
      <w:r w:rsidR="0097470A" w:rsidRPr="00C2548D">
        <w:rPr>
          <w:lang w:val="fr-FR"/>
        </w:rPr>
        <w:t xml:space="preserve">il ne lui </w:t>
      </w:r>
      <w:r w:rsidR="00B9594B" w:rsidRPr="00C2548D">
        <w:rPr>
          <w:lang w:val="fr-FR"/>
        </w:rPr>
        <w:t xml:space="preserve">appartient </w:t>
      </w:r>
      <w:r w:rsidR="0097470A" w:rsidRPr="00C2548D">
        <w:rPr>
          <w:lang w:val="fr-FR"/>
        </w:rPr>
        <w:t>pas de substituer son appréciation à celle des autorités nationales compétentes quant aux mesures qui auraient dû être prises</w:t>
      </w:r>
      <w:r w:rsidR="00284260" w:rsidRPr="00C2548D">
        <w:rPr>
          <w:lang w:val="fr-FR"/>
        </w:rPr>
        <w:t>,</w:t>
      </w:r>
      <w:r w:rsidR="0097470A" w:rsidRPr="00C2548D">
        <w:rPr>
          <w:lang w:val="fr-FR"/>
        </w:rPr>
        <w:t xml:space="preserve"> car ces autorités sont, en effet, en principe mieux placées pour procéder à une telle évaluation, </w:t>
      </w:r>
      <w:r w:rsidR="00870B9A" w:rsidRPr="00C2548D">
        <w:rPr>
          <w:lang w:val="fr-FR"/>
        </w:rPr>
        <w:t>du fait notamment</w:t>
      </w:r>
      <w:r w:rsidR="0097470A" w:rsidRPr="00C2548D">
        <w:rPr>
          <w:lang w:val="fr-FR"/>
        </w:rPr>
        <w:t xml:space="preserve"> qu</w:t>
      </w:r>
      <w:r>
        <w:rPr>
          <w:lang w:val="fr-FR"/>
        </w:rPr>
        <w:t>’</w:t>
      </w:r>
      <w:r w:rsidR="0097470A" w:rsidRPr="00C2548D">
        <w:rPr>
          <w:lang w:val="fr-FR"/>
        </w:rPr>
        <w:t>elles sont en contact direct avec le contexte de l</w:t>
      </w:r>
      <w:r>
        <w:rPr>
          <w:lang w:val="fr-FR"/>
        </w:rPr>
        <w:t>’</w:t>
      </w:r>
      <w:r w:rsidR="0097470A" w:rsidRPr="00C2548D">
        <w:rPr>
          <w:lang w:val="fr-FR"/>
        </w:rPr>
        <w:t>affaire et les parties impliquées. Elle doit cependant contrôler, sous l</w:t>
      </w:r>
      <w:r>
        <w:rPr>
          <w:lang w:val="fr-FR"/>
        </w:rPr>
        <w:t>’</w:t>
      </w:r>
      <w:r w:rsidR="0097470A" w:rsidRPr="00C2548D">
        <w:rPr>
          <w:lang w:val="fr-FR"/>
        </w:rPr>
        <w:t xml:space="preserve">angle de la Convention, les décisions </w:t>
      </w:r>
      <w:r w:rsidR="00870B9A" w:rsidRPr="00C2548D">
        <w:rPr>
          <w:lang w:val="fr-FR"/>
        </w:rPr>
        <w:t xml:space="preserve">que lesdites autorités </w:t>
      </w:r>
      <w:r w:rsidR="0097470A" w:rsidRPr="00C2548D">
        <w:rPr>
          <w:lang w:val="fr-FR"/>
        </w:rPr>
        <w:t>ont rendues dans l</w:t>
      </w:r>
      <w:r>
        <w:rPr>
          <w:lang w:val="fr-FR"/>
        </w:rPr>
        <w:t>’</w:t>
      </w:r>
      <w:r w:rsidR="0097470A" w:rsidRPr="00C2548D">
        <w:rPr>
          <w:lang w:val="fr-FR"/>
        </w:rPr>
        <w:t>exercice de leur pouvoir d</w:t>
      </w:r>
      <w:r>
        <w:rPr>
          <w:lang w:val="fr-FR"/>
        </w:rPr>
        <w:t>’</w:t>
      </w:r>
      <w:r w:rsidR="0097470A" w:rsidRPr="00C2548D">
        <w:rPr>
          <w:lang w:val="fr-FR"/>
        </w:rPr>
        <w:t>appréciation.</w:t>
      </w:r>
    </w:p>
    <w:p w:rsidR="0097470A" w:rsidRPr="00C2548D" w:rsidRDefault="00C2548D" w:rsidP="0003673D">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76</w:t>
      </w:r>
      <w:r>
        <w:rPr>
          <w:noProof/>
        </w:rPr>
        <w:fldChar w:fldCharType="end"/>
      </w:r>
      <w:r w:rsidR="007A7AB4" w:rsidRPr="00C2548D">
        <w:rPr>
          <w:lang w:val="fr-FR"/>
        </w:rPr>
        <w:t>.  </w:t>
      </w:r>
      <w:r w:rsidR="009B2E37" w:rsidRPr="00C2548D">
        <w:rPr>
          <w:lang w:val="fr-FR"/>
        </w:rPr>
        <w:t>La C</w:t>
      </w:r>
      <w:r w:rsidR="0003673D" w:rsidRPr="00C2548D">
        <w:rPr>
          <w:lang w:val="fr-FR"/>
        </w:rPr>
        <w:t>our note qu</w:t>
      </w:r>
      <w:r>
        <w:rPr>
          <w:lang w:val="fr-FR"/>
        </w:rPr>
        <w:t>’</w:t>
      </w:r>
      <w:r w:rsidR="0003673D" w:rsidRPr="00C2548D">
        <w:rPr>
          <w:lang w:val="fr-FR"/>
        </w:rPr>
        <w:t xml:space="preserve">après la </w:t>
      </w:r>
      <w:r w:rsidR="007A7AB4" w:rsidRPr="00C2548D">
        <w:rPr>
          <w:lang w:val="fr-FR"/>
        </w:rPr>
        <w:t>séparation</w:t>
      </w:r>
      <w:r w:rsidR="0003673D" w:rsidRPr="00C2548D">
        <w:rPr>
          <w:lang w:val="fr-FR"/>
        </w:rPr>
        <w:t xml:space="preserve"> d</w:t>
      </w:r>
      <w:r>
        <w:rPr>
          <w:lang w:val="fr-FR"/>
        </w:rPr>
        <w:t>’</w:t>
      </w:r>
      <w:r w:rsidR="0003673D" w:rsidRPr="00C2548D">
        <w:rPr>
          <w:lang w:val="fr-FR"/>
        </w:rPr>
        <w:t>avec le requérant</w:t>
      </w:r>
      <w:r w:rsidR="00316B20" w:rsidRPr="00C2548D">
        <w:rPr>
          <w:lang w:val="fr-FR"/>
        </w:rPr>
        <w:t>,</w:t>
      </w:r>
      <w:r w:rsidR="0003673D" w:rsidRPr="00C2548D">
        <w:rPr>
          <w:lang w:val="fr-FR"/>
        </w:rPr>
        <w:t xml:space="preserve"> l</w:t>
      </w:r>
      <w:r>
        <w:rPr>
          <w:lang w:val="fr-FR"/>
        </w:rPr>
        <w:t>’</w:t>
      </w:r>
      <w:r w:rsidR="0003673D" w:rsidRPr="00C2548D">
        <w:rPr>
          <w:lang w:val="fr-FR"/>
        </w:rPr>
        <w:t>enfant a été placée dans une famille d</w:t>
      </w:r>
      <w:r>
        <w:rPr>
          <w:lang w:val="fr-FR"/>
        </w:rPr>
        <w:t>’</w:t>
      </w:r>
      <w:r w:rsidR="0003673D" w:rsidRPr="00C2548D">
        <w:rPr>
          <w:lang w:val="fr-FR"/>
        </w:rPr>
        <w:t>accueil</w:t>
      </w:r>
      <w:r w:rsidR="00870B9A" w:rsidRPr="00C2548D">
        <w:rPr>
          <w:lang w:val="fr-FR"/>
        </w:rPr>
        <w:t>,</w:t>
      </w:r>
      <w:r w:rsidR="0003673D" w:rsidRPr="00C2548D">
        <w:rPr>
          <w:lang w:val="fr-FR"/>
        </w:rPr>
        <w:t xml:space="preserve"> </w:t>
      </w:r>
      <w:r w:rsidR="00870B9A" w:rsidRPr="00C2548D">
        <w:rPr>
          <w:lang w:val="fr-FR"/>
        </w:rPr>
        <w:t xml:space="preserve">dans laquelle </w:t>
      </w:r>
      <w:r w:rsidR="0003673D" w:rsidRPr="00C2548D">
        <w:rPr>
          <w:lang w:val="fr-FR"/>
        </w:rPr>
        <w:t>elle s</w:t>
      </w:r>
      <w:r>
        <w:rPr>
          <w:lang w:val="fr-FR"/>
        </w:rPr>
        <w:t>’</w:t>
      </w:r>
      <w:r w:rsidR="0003673D" w:rsidRPr="00C2548D">
        <w:rPr>
          <w:lang w:val="fr-FR"/>
        </w:rPr>
        <w:t xml:space="preserve">est bien </w:t>
      </w:r>
      <w:r w:rsidR="007A7AB4" w:rsidRPr="00C2548D">
        <w:rPr>
          <w:lang w:val="fr-FR"/>
        </w:rPr>
        <w:t>insérée</w:t>
      </w:r>
      <w:r w:rsidR="0003673D" w:rsidRPr="00C2548D">
        <w:rPr>
          <w:lang w:val="fr-FR"/>
        </w:rPr>
        <w:t>. Toutefois</w:t>
      </w:r>
      <w:r w:rsidR="00316B20" w:rsidRPr="00C2548D">
        <w:rPr>
          <w:lang w:val="fr-FR"/>
        </w:rPr>
        <w:t>,</w:t>
      </w:r>
      <w:r w:rsidR="0003673D" w:rsidRPr="00C2548D">
        <w:rPr>
          <w:lang w:val="fr-FR"/>
        </w:rPr>
        <w:t xml:space="preserve"> la </w:t>
      </w:r>
      <w:r w:rsidR="0097470A" w:rsidRPr="00C2548D">
        <w:rPr>
          <w:lang w:val="fr-FR"/>
        </w:rPr>
        <w:t xml:space="preserve">Cour relève </w:t>
      </w:r>
      <w:r w:rsidR="0027608B" w:rsidRPr="00C2548D">
        <w:rPr>
          <w:lang w:val="fr-FR"/>
        </w:rPr>
        <w:t>qu</w:t>
      </w:r>
      <w:r>
        <w:rPr>
          <w:lang w:val="fr-FR"/>
        </w:rPr>
        <w:t>’</w:t>
      </w:r>
      <w:r w:rsidR="00870B9A" w:rsidRPr="00C2548D">
        <w:rPr>
          <w:lang w:val="fr-FR"/>
        </w:rPr>
        <w:t xml:space="preserve">une fois le requérant libéré après avoir été acquitté, </w:t>
      </w:r>
      <w:r w:rsidR="0027608B" w:rsidRPr="00C2548D">
        <w:rPr>
          <w:lang w:val="fr-FR"/>
        </w:rPr>
        <w:t>à</w:t>
      </w:r>
      <w:r w:rsidR="0097470A" w:rsidRPr="00C2548D">
        <w:rPr>
          <w:lang w:val="fr-FR"/>
        </w:rPr>
        <w:t xml:space="preserve"> aucun moment les juridictions internes n</w:t>
      </w:r>
      <w:r>
        <w:rPr>
          <w:lang w:val="fr-FR"/>
        </w:rPr>
        <w:t>’</w:t>
      </w:r>
      <w:r w:rsidR="0097470A" w:rsidRPr="00C2548D">
        <w:rPr>
          <w:lang w:val="fr-FR"/>
        </w:rPr>
        <w:t>ont envisagé des mesures moins radicales que l</w:t>
      </w:r>
      <w:r>
        <w:rPr>
          <w:lang w:val="fr-FR"/>
        </w:rPr>
        <w:t>’</w:t>
      </w:r>
      <w:r w:rsidR="0097470A" w:rsidRPr="00C2548D">
        <w:rPr>
          <w:lang w:val="fr-FR"/>
        </w:rPr>
        <w:t xml:space="preserve">orientation de </w:t>
      </w:r>
      <w:r w:rsidR="00841355" w:rsidRPr="00C2548D">
        <w:rPr>
          <w:lang w:val="fr-FR"/>
        </w:rPr>
        <w:t>A</w:t>
      </w:r>
      <w:r w:rsidR="0097470A" w:rsidRPr="00C2548D">
        <w:rPr>
          <w:lang w:val="fr-FR"/>
        </w:rPr>
        <w:t>. vers l</w:t>
      </w:r>
      <w:r>
        <w:rPr>
          <w:lang w:val="fr-FR"/>
        </w:rPr>
        <w:t>’</w:t>
      </w:r>
      <w:r w:rsidR="0097470A" w:rsidRPr="00C2548D">
        <w:rPr>
          <w:lang w:val="fr-FR"/>
        </w:rPr>
        <w:t>adoption afin d</w:t>
      </w:r>
      <w:r>
        <w:rPr>
          <w:lang w:val="fr-FR"/>
        </w:rPr>
        <w:t>’</w:t>
      </w:r>
      <w:r w:rsidR="0097470A" w:rsidRPr="00C2548D">
        <w:rPr>
          <w:lang w:val="fr-FR"/>
        </w:rPr>
        <w:t>éviter l</w:t>
      </w:r>
      <w:r>
        <w:rPr>
          <w:lang w:val="fr-FR"/>
        </w:rPr>
        <w:t>’</w:t>
      </w:r>
      <w:r w:rsidR="0097470A" w:rsidRPr="00C2548D">
        <w:rPr>
          <w:lang w:val="fr-FR"/>
        </w:rPr>
        <w:t>éloignement définitif et irréversible de l</w:t>
      </w:r>
      <w:r>
        <w:rPr>
          <w:lang w:val="fr-FR"/>
        </w:rPr>
        <w:t>’</w:t>
      </w:r>
      <w:r w:rsidR="0097470A" w:rsidRPr="00C2548D">
        <w:rPr>
          <w:lang w:val="fr-FR"/>
        </w:rPr>
        <w:t xml:space="preserve">enfant </w:t>
      </w:r>
      <w:r w:rsidR="00841355" w:rsidRPr="00C2548D">
        <w:rPr>
          <w:lang w:val="fr-FR"/>
        </w:rPr>
        <w:t>de son père</w:t>
      </w:r>
      <w:r w:rsidR="00870B9A" w:rsidRPr="00C2548D">
        <w:rPr>
          <w:lang w:val="fr-FR"/>
        </w:rPr>
        <w:t>, mesure</w:t>
      </w:r>
      <w:r w:rsidR="0097470A" w:rsidRPr="00C2548D">
        <w:rPr>
          <w:lang w:val="fr-FR"/>
        </w:rPr>
        <w:t xml:space="preserve"> pouvant aller contre l</w:t>
      </w:r>
      <w:r>
        <w:rPr>
          <w:lang w:val="fr-FR"/>
        </w:rPr>
        <w:t>’</w:t>
      </w:r>
      <w:r w:rsidR="0097470A" w:rsidRPr="00C2548D">
        <w:rPr>
          <w:lang w:val="fr-FR"/>
        </w:rPr>
        <w:t>intérêt supérieur de l</w:t>
      </w:r>
      <w:r>
        <w:rPr>
          <w:lang w:val="fr-FR"/>
        </w:rPr>
        <w:t>’</w:t>
      </w:r>
      <w:r w:rsidR="0097470A" w:rsidRPr="00C2548D">
        <w:rPr>
          <w:lang w:val="fr-FR"/>
        </w:rPr>
        <w:t>enfant.</w:t>
      </w:r>
    </w:p>
    <w:p w:rsidR="0097470A" w:rsidRPr="00C2548D" w:rsidRDefault="00C2548D" w:rsidP="0097470A">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77</w:t>
      </w:r>
      <w:r>
        <w:rPr>
          <w:noProof/>
        </w:rPr>
        <w:fldChar w:fldCharType="end"/>
      </w:r>
      <w:r w:rsidR="007A7AB4" w:rsidRPr="00C2548D">
        <w:rPr>
          <w:lang w:val="fr-FR"/>
        </w:rPr>
        <w:t>.  En outre,</w:t>
      </w:r>
      <w:r w:rsidR="0097470A" w:rsidRPr="00C2548D">
        <w:rPr>
          <w:lang w:val="fr-FR"/>
        </w:rPr>
        <w:t xml:space="preserve"> en ce qui concerne l</w:t>
      </w:r>
      <w:r>
        <w:rPr>
          <w:lang w:val="fr-FR"/>
        </w:rPr>
        <w:t>’</w:t>
      </w:r>
      <w:r w:rsidR="0097470A" w:rsidRPr="00C2548D">
        <w:rPr>
          <w:lang w:val="fr-FR"/>
        </w:rPr>
        <w:t xml:space="preserve">absence de liens entre </w:t>
      </w:r>
      <w:r w:rsidR="00F93C8B" w:rsidRPr="00C2548D">
        <w:rPr>
          <w:lang w:val="fr-FR"/>
        </w:rPr>
        <w:t>le requérant</w:t>
      </w:r>
      <w:r w:rsidR="0097470A" w:rsidRPr="00C2548D">
        <w:rPr>
          <w:lang w:val="fr-FR"/>
        </w:rPr>
        <w:t xml:space="preserve"> et </w:t>
      </w:r>
      <w:r w:rsidR="00F93C8B" w:rsidRPr="00C2548D">
        <w:rPr>
          <w:lang w:val="fr-FR"/>
        </w:rPr>
        <w:t>sa fille</w:t>
      </w:r>
      <w:r w:rsidR="00B92E1D" w:rsidRPr="00C2548D">
        <w:rPr>
          <w:lang w:val="fr-FR"/>
        </w:rPr>
        <w:t>,</w:t>
      </w:r>
      <w:r w:rsidR="0097470A" w:rsidRPr="00C2548D">
        <w:rPr>
          <w:lang w:val="fr-FR"/>
        </w:rPr>
        <w:t xml:space="preserve"> </w:t>
      </w:r>
      <w:r w:rsidR="00EA02C7" w:rsidRPr="00C2548D">
        <w:rPr>
          <w:lang w:val="fr-FR"/>
        </w:rPr>
        <w:t>raison</w:t>
      </w:r>
      <w:r w:rsidR="00802B78" w:rsidRPr="00C2548D">
        <w:rPr>
          <w:lang w:val="fr-FR"/>
        </w:rPr>
        <w:t xml:space="preserve"> </w:t>
      </w:r>
      <w:r w:rsidR="007A7AB4" w:rsidRPr="00C2548D">
        <w:rPr>
          <w:lang w:val="fr-FR"/>
        </w:rPr>
        <w:t>sur laquelle</w:t>
      </w:r>
      <w:r w:rsidR="00802B78" w:rsidRPr="00C2548D">
        <w:rPr>
          <w:lang w:val="fr-FR"/>
        </w:rPr>
        <w:t xml:space="preserve"> la cour d</w:t>
      </w:r>
      <w:r>
        <w:rPr>
          <w:lang w:val="fr-FR"/>
        </w:rPr>
        <w:t>’</w:t>
      </w:r>
      <w:r w:rsidR="00802B78" w:rsidRPr="00C2548D">
        <w:rPr>
          <w:lang w:val="fr-FR"/>
        </w:rPr>
        <w:t>appel s</w:t>
      </w:r>
      <w:r>
        <w:rPr>
          <w:lang w:val="fr-FR"/>
        </w:rPr>
        <w:t>’</w:t>
      </w:r>
      <w:r w:rsidR="00802B78" w:rsidRPr="00C2548D">
        <w:rPr>
          <w:lang w:val="fr-FR"/>
        </w:rPr>
        <w:t>est appuyée pour déclarer l</w:t>
      </w:r>
      <w:r>
        <w:rPr>
          <w:lang w:val="fr-FR"/>
        </w:rPr>
        <w:t>’</w:t>
      </w:r>
      <w:r w:rsidR="00870B9A" w:rsidRPr="00C2548D">
        <w:rPr>
          <w:lang w:val="fr-FR"/>
        </w:rPr>
        <w:t xml:space="preserve">enfant en </w:t>
      </w:r>
      <w:r w:rsidR="00802B78" w:rsidRPr="00C2548D">
        <w:rPr>
          <w:lang w:val="fr-FR"/>
        </w:rPr>
        <w:t>état d</w:t>
      </w:r>
      <w:r>
        <w:rPr>
          <w:lang w:val="fr-FR"/>
        </w:rPr>
        <w:t>’</w:t>
      </w:r>
      <w:r w:rsidR="00802B78" w:rsidRPr="00C2548D">
        <w:rPr>
          <w:lang w:val="fr-FR"/>
        </w:rPr>
        <w:t xml:space="preserve">abandon, </w:t>
      </w:r>
      <w:r w:rsidR="0097470A" w:rsidRPr="00C2548D">
        <w:rPr>
          <w:lang w:val="fr-FR"/>
        </w:rPr>
        <w:t xml:space="preserve">la Cour </w:t>
      </w:r>
      <w:r w:rsidR="00DA0CDA" w:rsidRPr="00C2548D">
        <w:rPr>
          <w:lang w:val="fr-FR"/>
        </w:rPr>
        <w:t xml:space="preserve">note </w:t>
      </w:r>
      <w:r w:rsidR="00F93C8B" w:rsidRPr="00C2548D">
        <w:rPr>
          <w:lang w:val="fr-FR"/>
        </w:rPr>
        <w:t xml:space="preserve">que les autorités </w:t>
      </w:r>
      <w:r w:rsidR="007A7AB4" w:rsidRPr="00C2548D">
        <w:rPr>
          <w:lang w:val="fr-FR"/>
        </w:rPr>
        <w:t>compétentes</w:t>
      </w:r>
      <w:r w:rsidR="0097470A" w:rsidRPr="00C2548D">
        <w:rPr>
          <w:lang w:val="fr-FR"/>
        </w:rPr>
        <w:t xml:space="preserve"> </w:t>
      </w:r>
      <w:r w:rsidR="007A7AB4" w:rsidRPr="00C2548D">
        <w:rPr>
          <w:lang w:val="fr-FR"/>
        </w:rPr>
        <w:t>étaient</w:t>
      </w:r>
      <w:r w:rsidR="00802B78" w:rsidRPr="00C2548D">
        <w:rPr>
          <w:lang w:val="fr-FR"/>
        </w:rPr>
        <w:t xml:space="preserve"> </w:t>
      </w:r>
      <w:r w:rsidR="0097470A" w:rsidRPr="00C2548D">
        <w:rPr>
          <w:lang w:val="fr-FR"/>
        </w:rPr>
        <w:t xml:space="preserve">responsables de la situation de rupture familiale </w:t>
      </w:r>
      <w:r w:rsidR="00870B9A" w:rsidRPr="00C2548D">
        <w:rPr>
          <w:lang w:val="fr-FR"/>
        </w:rPr>
        <w:t xml:space="preserve">qui </w:t>
      </w:r>
      <w:r w:rsidR="000D56EA" w:rsidRPr="00C2548D">
        <w:rPr>
          <w:lang w:val="fr-FR"/>
        </w:rPr>
        <w:t>s</w:t>
      </w:r>
      <w:r>
        <w:rPr>
          <w:lang w:val="fr-FR"/>
        </w:rPr>
        <w:t>’</w:t>
      </w:r>
      <w:r w:rsidR="000D56EA" w:rsidRPr="00C2548D">
        <w:rPr>
          <w:lang w:val="fr-FR"/>
        </w:rPr>
        <w:t xml:space="preserve">est installée </w:t>
      </w:r>
      <w:r w:rsidR="007A7AB4" w:rsidRPr="00C2548D">
        <w:rPr>
          <w:lang w:val="fr-FR"/>
        </w:rPr>
        <w:t>entre</w:t>
      </w:r>
      <w:r w:rsidR="009B2E37" w:rsidRPr="00C2548D">
        <w:rPr>
          <w:lang w:val="fr-FR"/>
        </w:rPr>
        <w:t xml:space="preserve"> le 2 avril 2009, date de l</w:t>
      </w:r>
      <w:r>
        <w:rPr>
          <w:lang w:val="fr-FR"/>
        </w:rPr>
        <w:t>’</w:t>
      </w:r>
      <w:r w:rsidR="009B2E37" w:rsidRPr="00C2548D">
        <w:rPr>
          <w:lang w:val="fr-FR"/>
        </w:rPr>
        <w:t>arrestation du requérant</w:t>
      </w:r>
      <w:r w:rsidR="00316B20" w:rsidRPr="00C2548D">
        <w:rPr>
          <w:lang w:val="fr-FR"/>
        </w:rPr>
        <w:t>,</w:t>
      </w:r>
      <w:r w:rsidR="009B2E37" w:rsidRPr="00C2548D">
        <w:rPr>
          <w:lang w:val="fr-FR"/>
        </w:rPr>
        <w:t xml:space="preserve"> et le 7 juillet 2011</w:t>
      </w:r>
      <w:r w:rsidR="00316B20" w:rsidRPr="00C2548D">
        <w:rPr>
          <w:lang w:val="fr-FR"/>
        </w:rPr>
        <w:t>,</w:t>
      </w:r>
      <w:r w:rsidR="0097470A" w:rsidRPr="00C2548D">
        <w:rPr>
          <w:lang w:val="fr-FR"/>
        </w:rPr>
        <w:t xml:space="preserve"> date </w:t>
      </w:r>
      <w:r w:rsidR="009B2E37" w:rsidRPr="00C2548D">
        <w:rPr>
          <w:lang w:val="fr-FR"/>
        </w:rPr>
        <w:t>de s</w:t>
      </w:r>
      <w:r w:rsidR="00802B78" w:rsidRPr="00C2548D">
        <w:rPr>
          <w:lang w:val="fr-FR"/>
        </w:rPr>
        <w:t xml:space="preserve">a </w:t>
      </w:r>
      <w:r w:rsidR="007A7AB4" w:rsidRPr="00C2548D">
        <w:rPr>
          <w:lang w:val="fr-FR"/>
        </w:rPr>
        <w:t>libération</w:t>
      </w:r>
      <w:r w:rsidR="009B2E37" w:rsidRPr="00C2548D">
        <w:rPr>
          <w:lang w:val="fr-FR"/>
        </w:rPr>
        <w:t>.</w:t>
      </w:r>
    </w:p>
    <w:p w:rsidR="0097470A" w:rsidRPr="00C2548D" w:rsidRDefault="00C2548D" w:rsidP="0097470A">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78</w:t>
      </w:r>
      <w:r>
        <w:rPr>
          <w:noProof/>
        </w:rPr>
        <w:fldChar w:fldCharType="end"/>
      </w:r>
      <w:r w:rsidR="00C97ED8" w:rsidRPr="00C2548D">
        <w:rPr>
          <w:lang w:val="fr-FR"/>
        </w:rPr>
        <w:t>.  </w:t>
      </w:r>
      <w:r w:rsidR="00F93C8B" w:rsidRPr="00C2548D">
        <w:rPr>
          <w:lang w:val="fr-FR"/>
        </w:rPr>
        <w:t>La Cour rappelle également que l</w:t>
      </w:r>
      <w:r w:rsidR="0097470A" w:rsidRPr="00C2548D">
        <w:rPr>
          <w:lang w:val="fr-FR"/>
        </w:rPr>
        <w:t>e fait qu</w:t>
      </w:r>
      <w:r>
        <w:rPr>
          <w:lang w:val="fr-FR"/>
        </w:rPr>
        <w:t>’</w:t>
      </w:r>
      <w:r w:rsidR="0097470A" w:rsidRPr="00C2548D">
        <w:rPr>
          <w:lang w:val="fr-FR"/>
        </w:rPr>
        <w:t>un enfant puisse être accueilli dans un cadre plus propice à son éducation ne saurait en soi justifier qu</w:t>
      </w:r>
      <w:r>
        <w:rPr>
          <w:lang w:val="fr-FR"/>
        </w:rPr>
        <w:t>’</w:t>
      </w:r>
      <w:r w:rsidR="0097470A" w:rsidRPr="00C2548D">
        <w:rPr>
          <w:lang w:val="fr-FR"/>
        </w:rPr>
        <w:t>on le soustraie de force aux soins de ses parents biologiques</w:t>
      </w:r>
      <w:r w:rsidR="00B92E1D" w:rsidRPr="00C2548D">
        <w:rPr>
          <w:lang w:val="fr-FR"/>
        </w:rPr>
        <w:t> </w:t>
      </w:r>
      <w:r w:rsidR="0097470A" w:rsidRPr="00C2548D">
        <w:rPr>
          <w:lang w:val="fr-FR"/>
        </w:rPr>
        <w:t>; pareille ingérence dans le droit des parents, au titre de l</w:t>
      </w:r>
      <w:r>
        <w:rPr>
          <w:lang w:val="fr-FR"/>
        </w:rPr>
        <w:t>’</w:t>
      </w:r>
      <w:r w:rsidR="0097470A" w:rsidRPr="00C2548D">
        <w:rPr>
          <w:lang w:val="fr-FR"/>
        </w:rPr>
        <w:t>article 8 de la Convention, à jouir d</w:t>
      </w:r>
      <w:r>
        <w:rPr>
          <w:lang w:val="fr-FR"/>
        </w:rPr>
        <w:t>’</w:t>
      </w:r>
      <w:r w:rsidR="0097470A" w:rsidRPr="00C2548D">
        <w:rPr>
          <w:lang w:val="fr-FR"/>
        </w:rPr>
        <w:t>une vie familiale avec leur enfant doit encore se révéler «</w:t>
      </w:r>
      <w:r w:rsidR="00B92E1D" w:rsidRPr="00C2548D">
        <w:rPr>
          <w:lang w:val="fr-FR"/>
        </w:rPr>
        <w:t> </w:t>
      </w:r>
      <w:r w:rsidR="0097470A" w:rsidRPr="00C2548D">
        <w:rPr>
          <w:lang w:val="fr-FR"/>
        </w:rPr>
        <w:t>nécessaire</w:t>
      </w:r>
      <w:r w:rsidR="00B92E1D" w:rsidRPr="00C2548D">
        <w:rPr>
          <w:lang w:val="fr-FR"/>
        </w:rPr>
        <w:t> </w:t>
      </w:r>
      <w:r w:rsidR="0097470A" w:rsidRPr="00C2548D">
        <w:rPr>
          <w:lang w:val="fr-FR"/>
        </w:rPr>
        <w:t>» en raison d</w:t>
      </w:r>
      <w:r>
        <w:rPr>
          <w:lang w:val="fr-FR"/>
        </w:rPr>
        <w:t>’</w:t>
      </w:r>
      <w:r w:rsidR="0097470A" w:rsidRPr="00C2548D">
        <w:rPr>
          <w:lang w:val="fr-FR"/>
        </w:rPr>
        <w:t>autres circonstances (</w:t>
      </w:r>
      <w:r w:rsidR="0097470A" w:rsidRPr="00C2548D">
        <w:rPr>
          <w:i/>
          <w:lang w:val="fr-FR"/>
        </w:rPr>
        <w:t>K. et T. c. Finlande</w:t>
      </w:r>
      <w:r w:rsidR="0097470A" w:rsidRPr="00C2548D">
        <w:rPr>
          <w:lang w:val="fr-FR"/>
        </w:rPr>
        <w:t xml:space="preserve"> [GC], précité, § 173).</w:t>
      </w:r>
    </w:p>
    <w:p w:rsidR="003442AD"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79</w:t>
      </w:r>
      <w:r>
        <w:rPr>
          <w:noProof/>
        </w:rPr>
        <w:fldChar w:fldCharType="end"/>
      </w:r>
      <w:r w:rsidR="00C97ED8" w:rsidRPr="00C2548D">
        <w:rPr>
          <w:lang w:val="fr-FR"/>
        </w:rPr>
        <w:t>.  </w:t>
      </w:r>
      <w:r w:rsidR="00DA0CDA" w:rsidRPr="00C2548D">
        <w:rPr>
          <w:lang w:val="fr-FR"/>
        </w:rPr>
        <w:t>La Cour note qu</w:t>
      </w:r>
      <w:r>
        <w:rPr>
          <w:lang w:val="fr-FR"/>
        </w:rPr>
        <w:t>’</w:t>
      </w:r>
      <w:r w:rsidR="00DA0CDA" w:rsidRPr="00C2548D">
        <w:rPr>
          <w:lang w:val="fr-FR"/>
        </w:rPr>
        <w:t xml:space="preserve">à la différence de la plupart des affaires </w:t>
      </w:r>
      <w:r w:rsidR="005760C1" w:rsidRPr="00C2548D">
        <w:rPr>
          <w:lang w:val="fr-FR"/>
        </w:rPr>
        <w:t>que la Cour a eu l</w:t>
      </w:r>
      <w:r>
        <w:rPr>
          <w:lang w:val="fr-FR"/>
        </w:rPr>
        <w:t>’</w:t>
      </w:r>
      <w:r w:rsidR="005760C1" w:rsidRPr="00C2548D">
        <w:rPr>
          <w:lang w:val="fr-FR"/>
        </w:rPr>
        <w:t>occasion d</w:t>
      </w:r>
      <w:r>
        <w:rPr>
          <w:lang w:val="fr-FR"/>
        </w:rPr>
        <w:t>’</w:t>
      </w:r>
      <w:r w:rsidR="00DA0CDA" w:rsidRPr="00C2548D">
        <w:rPr>
          <w:lang w:val="fr-FR"/>
        </w:rPr>
        <w:t xml:space="preserve">examiner, </w:t>
      </w:r>
      <w:r w:rsidR="00E32A30" w:rsidRPr="00C2548D">
        <w:rPr>
          <w:bCs/>
          <w:lang w:val="fr-FR"/>
        </w:rPr>
        <w:t>en l</w:t>
      </w:r>
      <w:r>
        <w:rPr>
          <w:bCs/>
          <w:lang w:val="fr-FR"/>
        </w:rPr>
        <w:t>’</w:t>
      </w:r>
      <w:r w:rsidR="00E32A30" w:rsidRPr="00C2548D">
        <w:rPr>
          <w:bCs/>
          <w:lang w:val="fr-FR"/>
        </w:rPr>
        <w:t>espèce</w:t>
      </w:r>
      <w:r w:rsidR="00DA0CDA" w:rsidRPr="00C2548D">
        <w:rPr>
          <w:bCs/>
          <w:lang w:val="fr-FR"/>
        </w:rPr>
        <w:t xml:space="preserve"> </w:t>
      </w:r>
      <w:r w:rsidR="005760C1" w:rsidRPr="00C2548D">
        <w:rPr>
          <w:bCs/>
          <w:lang w:val="fr-FR"/>
        </w:rPr>
        <w:t>il n</w:t>
      </w:r>
      <w:r>
        <w:rPr>
          <w:bCs/>
          <w:lang w:val="fr-FR"/>
        </w:rPr>
        <w:t>’</w:t>
      </w:r>
      <w:r w:rsidR="005760C1" w:rsidRPr="00C2548D">
        <w:rPr>
          <w:bCs/>
          <w:lang w:val="fr-FR"/>
        </w:rPr>
        <w:t>a pas été d</w:t>
      </w:r>
      <w:r w:rsidR="003D23F7" w:rsidRPr="00C2548D">
        <w:rPr>
          <w:bCs/>
          <w:lang w:val="fr-FR"/>
        </w:rPr>
        <w:t>é</w:t>
      </w:r>
      <w:r w:rsidR="005760C1" w:rsidRPr="00C2548D">
        <w:rPr>
          <w:bCs/>
          <w:lang w:val="fr-FR"/>
        </w:rPr>
        <w:t xml:space="preserve">montré que </w:t>
      </w:r>
      <w:r w:rsidR="00EE069C" w:rsidRPr="00C2548D">
        <w:rPr>
          <w:bCs/>
          <w:lang w:val="fr-FR"/>
        </w:rPr>
        <w:t>l</w:t>
      </w:r>
      <w:r>
        <w:rPr>
          <w:bCs/>
          <w:lang w:val="fr-FR"/>
        </w:rPr>
        <w:t>’</w:t>
      </w:r>
      <w:r w:rsidR="00EE069C" w:rsidRPr="00C2548D">
        <w:rPr>
          <w:bCs/>
          <w:lang w:val="fr-FR"/>
        </w:rPr>
        <w:t xml:space="preserve">enfant </w:t>
      </w:r>
      <w:r w:rsidR="005760C1" w:rsidRPr="00C2548D">
        <w:rPr>
          <w:bCs/>
          <w:lang w:val="fr-FR"/>
        </w:rPr>
        <w:t>a</w:t>
      </w:r>
      <w:r w:rsidR="000419D4" w:rsidRPr="00C2548D">
        <w:rPr>
          <w:bCs/>
          <w:lang w:val="fr-FR"/>
        </w:rPr>
        <w:t>vait</w:t>
      </w:r>
      <w:r w:rsidR="00DA0CDA" w:rsidRPr="00C2548D">
        <w:rPr>
          <w:bCs/>
          <w:lang w:val="fr-FR"/>
        </w:rPr>
        <w:t xml:space="preserve"> été </w:t>
      </w:r>
      <w:r w:rsidR="000419D4" w:rsidRPr="00C2548D">
        <w:rPr>
          <w:bCs/>
          <w:lang w:val="fr-FR"/>
        </w:rPr>
        <w:t>exposée</w:t>
      </w:r>
      <w:r w:rsidR="009B2E37" w:rsidRPr="00C2548D">
        <w:rPr>
          <w:bCs/>
          <w:lang w:val="fr-FR"/>
        </w:rPr>
        <w:t xml:space="preserve"> à</w:t>
      </w:r>
      <w:r w:rsidR="00DA0CDA" w:rsidRPr="00C2548D">
        <w:rPr>
          <w:bCs/>
          <w:lang w:val="fr-FR"/>
        </w:rPr>
        <w:t xml:space="preserve"> des situations de violence ou de maltraitance</w:t>
      </w:r>
      <w:r w:rsidR="00DA0CDA" w:rsidRPr="00C2548D">
        <w:rPr>
          <w:lang w:val="fr-FR"/>
        </w:rPr>
        <w:t xml:space="preserve"> (voir, </w:t>
      </w:r>
      <w:r w:rsidR="00DA0CDA" w:rsidRPr="00C2548D">
        <w:rPr>
          <w:i/>
          <w:iCs/>
          <w:lang w:val="fr-FR"/>
        </w:rPr>
        <w:t>a contrario</w:t>
      </w:r>
      <w:r w:rsidR="00DA0CDA" w:rsidRPr="00C2548D">
        <w:rPr>
          <w:lang w:val="fr-FR"/>
        </w:rPr>
        <w:t xml:space="preserve">, </w:t>
      </w:r>
      <w:r w:rsidR="00DA0CDA" w:rsidRPr="00C2548D">
        <w:rPr>
          <w:i/>
          <w:iCs/>
          <w:lang w:val="fr-FR"/>
        </w:rPr>
        <w:t>Dewinne c. Belgique</w:t>
      </w:r>
      <w:r w:rsidR="00DA0CDA" w:rsidRPr="00C2548D">
        <w:rPr>
          <w:lang w:val="fr-FR"/>
        </w:rPr>
        <w:t xml:space="preserve"> (déc.), n</w:t>
      </w:r>
      <w:r w:rsidR="00DA0CDA" w:rsidRPr="00C2548D">
        <w:rPr>
          <w:vertAlign w:val="superscript"/>
          <w:lang w:val="fr-FR"/>
        </w:rPr>
        <w:t>o</w:t>
      </w:r>
      <w:r w:rsidR="00DA0CDA" w:rsidRPr="00C2548D">
        <w:rPr>
          <w:lang w:val="fr-FR"/>
        </w:rPr>
        <w:t xml:space="preserve"> 56024/00, 10 mars 2005</w:t>
      </w:r>
      <w:r w:rsidR="00B92E1D" w:rsidRPr="00C2548D">
        <w:rPr>
          <w:lang w:val="fr-FR"/>
        </w:rPr>
        <w:t> </w:t>
      </w:r>
      <w:r w:rsidR="00DA0CDA" w:rsidRPr="00C2548D">
        <w:rPr>
          <w:lang w:val="fr-FR"/>
        </w:rPr>
        <w:t xml:space="preserve">; </w:t>
      </w:r>
      <w:r w:rsidR="00DA0CDA" w:rsidRPr="00C2548D">
        <w:rPr>
          <w:i/>
          <w:iCs/>
          <w:lang w:val="fr-FR"/>
        </w:rPr>
        <w:t>Zakharova c. France</w:t>
      </w:r>
      <w:r w:rsidR="00DA0CDA" w:rsidRPr="00C2548D">
        <w:rPr>
          <w:lang w:val="fr-FR"/>
        </w:rPr>
        <w:t xml:space="preserve"> (déc.), n</w:t>
      </w:r>
      <w:r w:rsidR="00DA0CDA" w:rsidRPr="00C2548D">
        <w:rPr>
          <w:vertAlign w:val="superscript"/>
          <w:lang w:val="fr-FR"/>
        </w:rPr>
        <w:t>o</w:t>
      </w:r>
      <w:r w:rsidR="00DA0CDA" w:rsidRPr="00C2548D">
        <w:rPr>
          <w:lang w:val="fr-FR"/>
        </w:rPr>
        <w:t xml:space="preserve"> 57306/00, 13 décembre 2005), ni à des abus sexuels (voir, </w:t>
      </w:r>
      <w:r w:rsidR="00DA0CDA" w:rsidRPr="00C2548D">
        <w:rPr>
          <w:i/>
          <w:iCs/>
          <w:lang w:val="fr-FR"/>
        </w:rPr>
        <w:t>a contrario</w:t>
      </w:r>
      <w:r w:rsidR="00DA0CDA" w:rsidRPr="00C2548D">
        <w:rPr>
          <w:lang w:val="fr-FR"/>
        </w:rPr>
        <w:t xml:space="preserve">, </w:t>
      </w:r>
      <w:r w:rsidR="00DA0CDA" w:rsidRPr="00C2548D">
        <w:rPr>
          <w:i/>
          <w:iCs/>
          <w:lang w:val="fr-FR"/>
        </w:rPr>
        <w:t>Covezzi et Morselli c. Italie</w:t>
      </w:r>
      <w:r w:rsidR="00DA0CDA" w:rsidRPr="00C2548D">
        <w:rPr>
          <w:lang w:val="fr-FR"/>
        </w:rPr>
        <w:t>, n</w:t>
      </w:r>
      <w:r w:rsidR="00DA0CDA" w:rsidRPr="00C2548D">
        <w:rPr>
          <w:vertAlign w:val="superscript"/>
          <w:lang w:val="fr-FR"/>
        </w:rPr>
        <w:t>o </w:t>
      </w:r>
      <w:r w:rsidR="00DA0CDA" w:rsidRPr="00C2548D">
        <w:rPr>
          <w:lang w:val="fr-FR"/>
        </w:rPr>
        <w:t>52763/99, § 104, 9</w:t>
      </w:r>
      <w:r w:rsidR="009F21FF" w:rsidRPr="00C2548D">
        <w:rPr>
          <w:lang w:val="fr-FR"/>
        </w:rPr>
        <w:t> </w:t>
      </w:r>
      <w:r w:rsidR="005760C1" w:rsidRPr="00C2548D">
        <w:rPr>
          <w:lang w:val="fr-FR"/>
        </w:rPr>
        <w:t>mai 2003). Les tribunaux n</w:t>
      </w:r>
      <w:r>
        <w:rPr>
          <w:lang w:val="fr-FR"/>
        </w:rPr>
        <w:t>’</w:t>
      </w:r>
      <w:r w:rsidR="00DA0CDA" w:rsidRPr="00C2548D">
        <w:rPr>
          <w:lang w:val="fr-FR"/>
        </w:rPr>
        <w:t xml:space="preserve">ont </w:t>
      </w:r>
      <w:r w:rsidR="005760C1" w:rsidRPr="00C2548D">
        <w:rPr>
          <w:lang w:val="fr-FR"/>
        </w:rPr>
        <w:t xml:space="preserve">pas non plus </w:t>
      </w:r>
      <w:r w:rsidR="00DA0CDA" w:rsidRPr="00C2548D">
        <w:rPr>
          <w:lang w:val="fr-FR"/>
        </w:rPr>
        <w:t>constaté en l</w:t>
      </w:r>
      <w:r>
        <w:rPr>
          <w:lang w:val="fr-FR"/>
        </w:rPr>
        <w:t>’</w:t>
      </w:r>
      <w:r w:rsidR="00DA0CDA" w:rsidRPr="00C2548D">
        <w:rPr>
          <w:lang w:val="fr-FR"/>
        </w:rPr>
        <w:t xml:space="preserve">occurrence de déficits affectifs (voir, </w:t>
      </w:r>
      <w:r w:rsidR="00DA0CDA" w:rsidRPr="00C2548D">
        <w:rPr>
          <w:i/>
          <w:iCs/>
          <w:lang w:val="fr-FR"/>
        </w:rPr>
        <w:t>a contrario</w:t>
      </w:r>
      <w:r w:rsidR="00DA0CDA" w:rsidRPr="00C2548D">
        <w:rPr>
          <w:lang w:val="fr-FR"/>
        </w:rPr>
        <w:t xml:space="preserve">, </w:t>
      </w:r>
      <w:r w:rsidR="00DA0CDA" w:rsidRPr="00C2548D">
        <w:rPr>
          <w:i/>
          <w:iCs/>
          <w:lang w:val="fr-FR"/>
        </w:rPr>
        <w:t>Kutzner</w:t>
      </w:r>
      <w:r w:rsidR="00DA0CDA" w:rsidRPr="00C2548D">
        <w:rPr>
          <w:lang w:val="fr-FR"/>
        </w:rPr>
        <w:t xml:space="preserve">, précité, § 68), </w:t>
      </w:r>
      <w:r w:rsidR="000D6C8D" w:rsidRPr="00C2548D">
        <w:rPr>
          <w:lang w:val="fr-FR"/>
        </w:rPr>
        <w:t xml:space="preserve">ou encore </w:t>
      </w:r>
      <w:r w:rsidR="00DA0CDA" w:rsidRPr="00C2548D">
        <w:rPr>
          <w:lang w:val="fr-FR"/>
        </w:rPr>
        <w:t xml:space="preserve">un état de santé inquiétant ou un déséquilibre psychique des parents (voir, </w:t>
      </w:r>
      <w:r w:rsidR="00DA0CDA" w:rsidRPr="00C2548D">
        <w:rPr>
          <w:i/>
          <w:iCs/>
          <w:lang w:val="fr-FR"/>
        </w:rPr>
        <w:t>a contrario</w:t>
      </w:r>
      <w:r w:rsidR="00DA0CDA" w:rsidRPr="00C2548D">
        <w:rPr>
          <w:lang w:val="fr-FR"/>
        </w:rPr>
        <w:t xml:space="preserve">, </w:t>
      </w:r>
      <w:r w:rsidR="00DA0CDA" w:rsidRPr="00C2548D">
        <w:rPr>
          <w:i/>
          <w:iCs/>
          <w:lang w:val="fr-FR"/>
        </w:rPr>
        <w:t xml:space="preserve">Bertrand c. France </w:t>
      </w:r>
      <w:r w:rsidR="00DA0CDA" w:rsidRPr="00C2548D">
        <w:rPr>
          <w:lang w:val="fr-FR"/>
        </w:rPr>
        <w:t>(déc.), n</w:t>
      </w:r>
      <w:r w:rsidR="00DA0CDA" w:rsidRPr="00C2548D">
        <w:rPr>
          <w:vertAlign w:val="superscript"/>
          <w:lang w:val="fr-FR"/>
        </w:rPr>
        <w:t>o</w:t>
      </w:r>
      <w:r w:rsidR="00DA0CDA" w:rsidRPr="00C2548D">
        <w:rPr>
          <w:lang w:val="fr-FR"/>
        </w:rPr>
        <w:t xml:space="preserve"> 57376/00, 19 février 2002</w:t>
      </w:r>
      <w:r w:rsidR="00B92E1D" w:rsidRPr="00C2548D">
        <w:rPr>
          <w:lang w:val="fr-FR"/>
        </w:rPr>
        <w:t> </w:t>
      </w:r>
      <w:r w:rsidR="00DA0CDA" w:rsidRPr="00C2548D">
        <w:rPr>
          <w:lang w:val="fr-FR"/>
        </w:rPr>
        <w:t xml:space="preserve">; </w:t>
      </w:r>
      <w:r w:rsidR="00DA0CDA" w:rsidRPr="00C2548D">
        <w:rPr>
          <w:i/>
          <w:iCs/>
          <w:lang w:val="fr-FR"/>
        </w:rPr>
        <w:t>Couillard Maugery c. France</w:t>
      </w:r>
      <w:r w:rsidR="00DA0CDA" w:rsidRPr="00C2548D">
        <w:rPr>
          <w:lang w:val="fr-FR"/>
        </w:rPr>
        <w:t>, précité, § 261).</w:t>
      </w:r>
    </w:p>
    <w:p w:rsidR="003442AD" w:rsidRPr="00C2548D" w:rsidRDefault="00101003" w:rsidP="000E6D7E">
      <w:pPr>
        <w:pStyle w:val="ECHRPara"/>
        <w:rPr>
          <w:rFonts w:eastAsia="Calibri"/>
          <w:lang w:val="fr-FR"/>
        </w:rPr>
      </w:pPr>
      <w:r>
        <w:rPr>
          <w:rFonts w:eastAsia="Calibri"/>
        </w:rPr>
        <w:fldChar w:fldCharType="begin"/>
      </w:r>
      <w:r w:rsidRPr="00C2548D">
        <w:rPr>
          <w:rFonts w:eastAsia="Calibri"/>
          <w:lang w:val="fr-FR"/>
        </w:rPr>
        <w:instrText xml:space="preserve"> SEQ level0 \*arabic </w:instrText>
      </w:r>
      <w:r>
        <w:rPr>
          <w:rFonts w:eastAsia="Calibri"/>
        </w:rPr>
        <w:fldChar w:fldCharType="separate"/>
      </w:r>
      <w:r w:rsidR="00205039" w:rsidRPr="00C2548D">
        <w:rPr>
          <w:rFonts w:eastAsia="Calibri"/>
          <w:noProof/>
          <w:lang w:val="fr-FR"/>
        </w:rPr>
        <w:t>80</w:t>
      </w:r>
      <w:r>
        <w:rPr>
          <w:rFonts w:eastAsia="Calibri"/>
        </w:rPr>
        <w:fldChar w:fldCharType="end"/>
      </w:r>
      <w:r w:rsidRPr="00C2548D">
        <w:rPr>
          <w:rFonts w:eastAsia="Calibri"/>
          <w:lang w:val="fr-FR"/>
        </w:rPr>
        <w:t>.  </w:t>
      </w:r>
      <w:r w:rsidR="003F268E" w:rsidRPr="00C2548D">
        <w:rPr>
          <w:rFonts w:eastAsia="Calibri"/>
          <w:lang w:val="fr-FR"/>
        </w:rPr>
        <w:t>Dans la présente affaire</w:t>
      </w:r>
      <w:r w:rsidR="000268D7" w:rsidRPr="00C2548D">
        <w:rPr>
          <w:rFonts w:eastAsia="Calibri"/>
          <w:lang w:val="fr-FR"/>
        </w:rPr>
        <w:t>,</w:t>
      </w:r>
      <w:r w:rsidR="003F268E" w:rsidRPr="00C2548D">
        <w:rPr>
          <w:rFonts w:eastAsia="Calibri"/>
          <w:lang w:val="fr-FR"/>
        </w:rPr>
        <w:t xml:space="preserve"> la prise en charge de l</w:t>
      </w:r>
      <w:r w:rsidR="00C2548D">
        <w:rPr>
          <w:rFonts w:eastAsia="Calibri"/>
          <w:lang w:val="fr-FR"/>
        </w:rPr>
        <w:t>’</w:t>
      </w:r>
      <w:r w:rsidR="003F268E" w:rsidRPr="00C2548D">
        <w:rPr>
          <w:rFonts w:eastAsia="Calibri"/>
          <w:lang w:val="fr-FR"/>
        </w:rPr>
        <w:t xml:space="preserve">enfant du requérant a été ordonnée </w:t>
      </w:r>
      <w:r w:rsidR="000D6C8D" w:rsidRPr="00C2548D">
        <w:rPr>
          <w:rFonts w:eastAsia="Calibri"/>
          <w:lang w:val="fr-FR"/>
        </w:rPr>
        <w:t>au motif</w:t>
      </w:r>
      <w:r w:rsidR="003F268E" w:rsidRPr="00C2548D">
        <w:rPr>
          <w:rFonts w:eastAsia="Calibri"/>
          <w:lang w:val="fr-FR"/>
        </w:rPr>
        <w:t xml:space="preserve"> </w:t>
      </w:r>
      <w:r w:rsidR="00EE069C" w:rsidRPr="00C2548D">
        <w:rPr>
          <w:rFonts w:eastAsia="Calibri"/>
          <w:lang w:val="fr-FR"/>
        </w:rPr>
        <w:t>que le requérant</w:t>
      </w:r>
      <w:r w:rsidR="003F268E" w:rsidRPr="00C2548D">
        <w:rPr>
          <w:rFonts w:eastAsia="Calibri"/>
          <w:lang w:val="fr-FR"/>
        </w:rPr>
        <w:t xml:space="preserve"> n</w:t>
      </w:r>
      <w:r w:rsidR="00C2548D">
        <w:rPr>
          <w:rFonts w:eastAsia="Calibri"/>
          <w:lang w:val="fr-FR"/>
        </w:rPr>
        <w:t>’</w:t>
      </w:r>
      <w:r w:rsidR="003F268E" w:rsidRPr="00C2548D">
        <w:rPr>
          <w:rFonts w:eastAsia="Calibri"/>
          <w:lang w:val="fr-FR"/>
        </w:rPr>
        <w:t>était pas en</w:t>
      </w:r>
      <w:r w:rsidR="00EA02C7" w:rsidRPr="00C2548D">
        <w:rPr>
          <w:rFonts w:eastAsia="Calibri"/>
          <w:lang w:val="fr-FR"/>
        </w:rPr>
        <w:t xml:space="preserve"> mesure de prendre soin d</w:t>
      </w:r>
      <w:r w:rsidR="00C2548D">
        <w:rPr>
          <w:rFonts w:eastAsia="Calibri"/>
          <w:lang w:val="fr-FR"/>
        </w:rPr>
        <w:t>’</w:t>
      </w:r>
      <w:r w:rsidR="00EA02C7" w:rsidRPr="00C2548D">
        <w:rPr>
          <w:rFonts w:eastAsia="Calibri"/>
          <w:lang w:val="fr-FR"/>
        </w:rPr>
        <w:t xml:space="preserve">elle </w:t>
      </w:r>
      <w:r w:rsidR="003F268E" w:rsidRPr="00C2548D">
        <w:rPr>
          <w:rFonts w:eastAsia="Calibri"/>
          <w:lang w:val="fr-FR"/>
        </w:rPr>
        <w:t xml:space="preserve">et </w:t>
      </w:r>
      <w:r w:rsidR="000D6C8D" w:rsidRPr="00C2548D">
        <w:rPr>
          <w:rFonts w:eastAsia="Calibri"/>
          <w:lang w:val="fr-FR"/>
        </w:rPr>
        <w:t>qu</w:t>
      </w:r>
      <w:r w:rsidR="00C2548D">
        <w:rPr>
          <w:rFonts w:eastAsia="Calibri"/>
          <w:lang w:val="fr-FR"/>
        </w:rPr>
        <w:t>’</w:t>
      </w:r>
      <w:r w:rsidR="000D6C8D" w:rsidRPr="00C2548D">
        <w:rPr>
          <w:rFonts w:eastAsia="Calibri"/>
          <w:lang w:val="fr-FR"/>
        </w:rPr>
        <w:t>un retour auprès de lui</w:t>
      </w:r>
      <w:r w:rsidR="003F268E" w:rsidRPr="00C2548D">
        <w:rPr>
          <w:rFonts w:eastAsia="Calibri"/>
          <w:lang w:val="fr-FR"/>
        </w:rPr>
        <w:t xml:space="preserve"> aurait été </w:t>
      </w:r>
      <w:r w:rsidR="00EA02C7" w:rsidRPr="00C2548D">
        <w:rPr>
          <w:rFonts w:eastAsia="Calibri"/>
          <w:lang w:val="fr-FR"/>
        </w:rPr>
        <w:t xml:space="preserve">nuisible </w:t>
      </w:r>
      <w:r w:rsidR="003F268E" w:rsidRPr="00C2548D">
        <w:rPr>
          <w:rFonts w:eastAsia="Calibri"/>
          <w:lang w:val="fr-FR"/>
        </w:rPr>
        <w:t>pour l</w:t>
      </w:r>
      <w:r w:rsidR="00C2548D">
        <w:rPr>
          <w:rFonts w:eastAsia="Calibri"/>
          <w:lang w:val="fr-FR"/>
        </w:rPr>
        <w:t>’</w:t>
      </w:r>
      <w:r w:rsidR="003F268E" w:rsidRPr="00C2548D">
        <w:rPr>
          <w:rFonts w:eastAsia="Calibri"/>
          <w:lang w:val="fr-FR"/>
        </w:rPr>
        <w:t>enfant. Toutefois, la Cour note que la séparation entre le requérant et l</w:t>
      </w:r>
      <w:r w:rsidR="00C2548D">
        <w:rPr>
          <w:rFonts w:eastAsia="Calibri"/>
          <w:lang w:val="fr-FR"/>
        </w:rPr>
        <w:t>’</w:t>
      </w:r>
      <w:r w:rsidR="003F268E" w:rsidRPr="00C2548D">
        <w:rPr>
          <w:rFonts w:eastAsia="Calibri"/>
          <w:lang w:val="fr-FR"/>
        </w:rPr>
        <w:t xml:space="preserve">enfant a été </w:t>
      </w:r>
      <w:r w:rsidR="000268D7" w:rsidRPr="00C2548D">
        <w:rPr>
          <w:rFonts w:eastAsia="Calibri"/>
          <w:lang w:val="fr-FR"/>
        </w:rPr>
        <w:t>provoquée</w:t>
      </w:r>
      <w:r w:rsidR="003F268E" w:rsidRPr="00C2548D">
        <w:rPr>
          <w:rFonts w:eastAsia="Calibri"/>
          <w:lang w:val="fr-FR"/>
        </w:rPr>
        <w:t xml:space="preserve"> par l</w:t>
      </w:r>
      <w:r w:rsidR="00C2548D">
        <w:rPr>
          <w:rFonts w:eastAsia="Calibri"/>
          <w:lang w:val="fr-FR"/>
        </w:rPr>
        <w:t>’</w:t>
      </w:r>
      <w:r w:rsidR="003F268E" w:rsidRPr="00C2548D">
        <w:rPr>
          <w:rFonts w:eastAsia="Calibri"/>
          <w:lang w:val="fr-FR"/>
        </w:rPr>
        <w:t>arrestation du requérant ;</w:t>
      </w:r>
      <w:r w:rsidR="009E2E79" w:rsidRPr="00C2548D">
        <w:rPr>
          <w:rFonts w:eastAsia="Calibri"/>
          <w:lang w:val="fr-FR"/>
        </w:rPr>
        <w:t xml:space="preserve"> que,</w:t>
      </w:r>
      <w:r w:rsidR="000D6C8D" w:rsidRPr="00C2548D">
        <w:rPr>
          <w:rFonts w:eastAsia="Calibri"/>
          <w:lang w:val="fr-FR"/>
        </w:rPr>
        <w:t xml:space="preserve"> </w:t>
      </w:r>
      <w:r w:rsidR="003F268E" w:rsidRPr="00C2548D">
        <w:rPr>
          <w:rFonts w:eastAsia="Calibri"/>
          <w:lang w:val="fr-FR"/>
        </w:rPr>
        <w:t>trois ans après</w:t>
      </w:r>
      <w:r w:rsidR="000268D7" w:rsidRPr="00C2548D">
        <w:rPr>
          <w:rFonts w:eastAsia="Calibri"/>
          <w:lang w:val="fr-FR"/>
        </w:rPr>
        <w:t>,</w:t>
      </w:r>
      <w:r w:rsidR="003F268E" w:rsidRPr="00C2548D">
        <w:rPr>
          <w:rFonts w:eastAsia="Calibri"/>
          <w:lang w:val="fr-FR"/>
        </w:rPr>
        <w:t xml:space="preserve"> le requérant a été acquitté</w:t>
      </w:r>
      <w:r w:rsidR="009E2E79" w:rsidRPr="00C2548D">
        <w:rPr>
          <w:rFonts w:eastAsia="Calibri"/>
          <w:lang w:val="fr-FR"/>
        </w:rPr>
        <w:t> ;</w:t>
      </w:r>
      <w:r w:rsidR="003F268E" w:rsidRPr="00C2548D">
        <w:rPr>
          <w:rFonts w:eastAsia="Calibri"/>
          <w:lang w:val="fr-FR"/>
        </w:rPr>
        <w:t xml:space="preserve"> et </w:t>
      </w:r>
      <w:r w:rsidR="009E2E79" w:rsidRPr="00C2548D">
        <w:rPr>
          <w:rFonts w:eastAsia="Calibri"/>
          <w:lang w:val="fr-FR"/>
        </w:rPr>
        <w:t xml:space="preserve">que </w:t>
      </w:r>
      <w:r w:rsidR="003F268E" w:rsidRPr="00C2548D">
        <w:rPr>
          <w:rFonts w:eastAsia="Calibri"/>
          <w:lang w:val="fr-FR"/>
        </w:rPr>
        <w:t xml:space="preserve">les juridictions internes </w:t>
      </w:r>
      <w:r w:rsidR="009E2E79" w:rsidRPr="00C2548D">
        <w:rPr>
          <w:rFonts w:eastAsia="Calibri"/>
          <w:lang w:val="fr-FR"/>
        </w:rPr>
        <w:t xml:space="preserve">ne </w:t>
      </w:r>
      <w:r w:rsidR="003F268E" w:rsidRPr="00C2548D">
        <w:rPr>
          <w:rFonts w:eastAsia="Calibri"/>
          <w:lang w:val="fr-FR"/>
        </w:rPr>
        <w:t xml:space="preserve">lui ont </w:t>
      </w:r>
      <w:r w:rsidR="00CC7130" w:rsidRPr="00C2548D">
        <w:rPr>
          <w:rFonts w:eastAsia="Calibri"/>
          <w:lang w:val="fr-FR"/>
        </w:rPr>
        <w:t xml:space="preserve">alors </w:t>
      </w:r>
      <w:r w:rsidR="003F268E" w:rsidRPr="00C2548D">
        <w:rPr>
          <w:rFonts w:eastAsia="Calibri"/>
          <w:lang w:val="fr-FR"/>
        </w:rPr>
        <w:t>permis de voir l</w:t>
      </w:r>
      <w:r w:rsidR="00C2548D">
        <w:rPr>
          <w:rFonts w:eastAsia="Calibri"/>
          <w:lang w:val="fr-FR"/>
        </w:rPr>
        <w:t>’</w:t>
      </w:r>
      <w:r w:rsidR="003F268E" w:rsidRPr="00C2548D">
        <w:rPr>
          <w:rFonts w:eastAsia="Calibri"/>
          <w:lang w:val="fr-FR"/>
        </w:rPr>
        <w:t xml:space="preserve">enfant </w:t>
      </w:r>
      <w:r w:rsidR="009E2E79" w:rsidRPr="00C2548D">
        <w:rPr>
          <w:rFonts w:eastAsia="Calibri"/>
          <w:lang w:val="fr-FR"/>
        </w:rPr>
        <w:t>qu</w:t>
      </w:r>
      <w:r w:rsidR="00C2548D">
        <w:rPr>
          <w:rFonts w:eastAsia="Calibri"/>
          <w:lang w:val="fr-FR"/>
        </w:rPr>
        <w:t>’</w:t>
      </w:r>
      <w:r w:rsidR="003F268E" w:rsidRPr="00C2548D">
        <w:rPr>
          <w:rFonts w:eastAsia="Calibri"/>
          <w:lang w:val="fr-FR"/>
        </w:rPr>
        <w:t>une seule fois</w:t>
      </w:r>
      <w:r w:rsidR="000D6C8D" w:rsidRPr="00C2548D">
        <w:rPr>
          <w:rFonts w:eastAsia="Calibri"/>
          <w:lang w:val="fr-FR"/>
        </w:rPr>
        <w:t>. C</w:t>
      </w:r>
      <w:r w:rsidR="00C2548D">
        <w:rPr>
          <w:rFonts w:eastAsia="Calibri"/>
          <w:lang w:val="fr-FR"/>
        </w:rPr>
        <w:t>’</w:t>
      </w:r>
      <w:r w:rsidR="000D6C8D" w:rsidRPr="00C2548D">
        <w:rPr>
          <w:rFonts w:eastAsia="Calibri"/>
          <w:lang w:val="fr-FR"/>
        </w:rPr>
        <w:t xml:space="preserve">est </w:t>
      </w:r>
      <w:r w:rsidR="006767B6" w:rsidRPr="00C2548D">
        <w:rPr>
          <w:rFonts w:eastAsia="Calibri"/>
          <w:lang w:val="fr-FR"/>
        </w:rPr>
        <w:t>à la suite de</w:t>
      </w:r>
      <w:r w:rsidR="003F268E" w:rsidRPr="00C2548D">
        <w:rPr>
          <w:rFonts w:eastAsia="Calibri"/>
          <w:lang w:val="fr-FR"/>
        </w:rPr>
        <w:t xml:space="preserve"> cette unique rencontre, sans </w:t>
      </w:r>
      <w:r w:rsidR="000D6C8D" w:rsidRPr="00C2548D">
        <w:rPr>
          <w:rFonts w:eastAsia="Calibri"/>
          <w:lang w:val="fr-FR"/>
        </w:rPr>
        <w:t xml:space="preserve">avoir </w:t>
      </w:r>
      <w:r w:rsidR="003F268E" w:rsidRPr="00C2548D">
        <w:rPr>
          <w:rFonts w:eastAsia="Calibri"/>
          <w:lang w:val="fr-FR"/>
        </w:rPr>
        <w:t>ordonn</w:t>
      </w:r>
      <w:r w:rsidR="000D6C8D" w:rsidRPr="00C2548D">
        <w:rPr>
          <w:rFonts w:eastAsia="Calibri"/>
          <w:color w:val="000000"/>
          <w:lang w:val="fr-FR"/>
        </w:rPr>
        <w:t>é</w:t>
      </w:r>
      <w:r w:rsidR="003F268E" w:rsidRPr="00C2548D">
        <w:rPr>
          <w:rFonts w:eastAsia="Calibri"/>
          <w:lang w:val="fr-FR"/>
        </w:rPr>
        <w:t xml:space="preserve"> aucune expertise </w:t>
      </w:r>
      <w:r w:rsidR="00B92E1D" w:rsidRPr="00C2548D">
        <w:rPr>
          <w:rFonts w:eastAsia="Calibri"/>
          <w:lang w:val="fr-FR"/>
        </w:rPr>
        <w:t xml:space="preserve">au sujet </w:t>
      </w:r>
      <w:r w:rsidR="000268D7" w:rsidRPr="00C2548D">
        <w:rPr>
          <w:rFonts w:eastAsia="Calibri"/>
          <w:lang w:val="fr-FR"/>
        </w:rPr>
        <w:t>du</w:t>
      </w:r>
      <w:r w:rsidR="003F268E" w:rsidRPr="00C2548D">
        <w:rPr>
          <w:rFonts w:eastAsia="Calibri"/>
          <w:lang w:val="fr-FR"/>
        </w:rPr>
        <w:t xml:space="preserve"> requérant </w:t>
      </w:r>
      <w:r w:rsidR="000D6C8D" w:rsidRPr="00C2548D">
        <w:rPr>
          <w:rFonts w:eastAsia="Calibri"/>
          <w:lang w:val="fr-FR"/>
        </w:rPr>
        <w:t>ni tenté de mettre en place</w:t>
      </w:r>
      <w:r w:rsidR="000268D7" w:rsidRPr="00C2548D">
        <w:rPr>
          <w:rFonts w:eastAsia="Calibri"/>
          <w:lang w:val="fr-FR"/>
        </w:rPr>
        <w:t xml:space="preserve"> </w:t>
      </w:r>
      <w:r w:rsidR="003F268E" w:rsidRPr="00C2548D">
        <w:rPr>
          <w:rFonts w:eastAsia="Calibri"/>
          <w:lang w:val="fr-FR"/>
        </w:rPr>
        <w:t xml:space="preserve">un </w:t>
      </w:r>
      <w:r w:rsidR="000D6C8D" w:rsidRPr="00C2548D">
        <w:rPr>
          <w:rFonts w:eastAsia="Calibri"/>
          <w:lang w:val="fr-FR"/>
        </w:rPr>
        <w:t xml:space="preserve">quelconque </w:t>
      </w:r>
      <w:r w:rsidR="003F268E" w:rsidRPr="00C2548D">
        <w:rPr>
          <w:rFonts w:eastAsia="Calibri"/>
          <w:lang w:val="fr-FR"/>
        </w:rPr>
        <w:t>parcours de rapprochement entre le requérant et l</w:t>
      </w:r>
      <w:r w:rsidR="00C2548D">
        <w:rPr>
          <w:rFonts w:eastAsia="Calibri"/>
          <w:lang w:val="fr-FR"/>
        </w:rPr>
        <w:t>’</w:t>
      </w:r>
      <w:r w:rsidR="003F268E" w:rsidRPr="00C2548D">
        <w:rPr>
          <w:rFonts w:eastAsia="Calibri"/>
          <w:lang w:val="fr-FR"/>
        </w:rPr>
        <w:t xml:space="preserve">enfant, </w:t>
      </w:r>
      <w:r w:rsidR="000D6C8D" w:rsidRPr="00C2548D">
        <w:rPr>
          <w:rFonts w:eastAsia="Calibri"/>
          <w:lang w:val="fr-FR"/>
        </w:rPr>
        <w:t>qu</w:t>
      </w:r>
      <w:r w:rsidR="00C2548D">
        <w:rPr>
          <w:rFonts w:eastAsia="Calibri"/>
          <w:lang w:val="fr-FR"/>
        </w:rPr>
        <w:t>’</w:t>
      </w:r>
      <w:r w:rsidR="003F268E" w:rsidRPr="00C2548D">
        <w:rPr>
          <w:rFonts w:eastAsia="Calibri"/>
          <w:lang w:val="fr-FR"/>
        </w:rPr>
        <w:t xml:space="preserve">elles ont </w:t>
      </w:r>
      <w:r w:rsidR="003D23F7" w:rsidRPr="00C2548D">
        <w:rPr>
          <w:rFonts w:eastAsia="Calibri"/>
          <w:lang w:val="fr-FR"/>
        </w:rPr>
        <w:t>jugé</w:t>
      </w:r>
      <w:r w:rsidR="003F268E" w:rsidRPr="00C2548D">
        <w:rPr>
          <w:rFonts w:eastAsia="Calibri"/>
          <w:lang w:val="fr-FR"/>
        </w:rPr>
        <w:t xml:space="preserve"> qu</w:t>
      </w:r>
      <w:r w:rsidR="00C2548D">
        <w:rPr>
          <w:rFonts w:eastAsia="Calibri"/>
          <w:lang w:val="fr-FR"/>
        </w:rPr>
        <w:t>’</w:t>
      </w:r>
      <w:r w:rsidR="003F268E" w:rsidRPr="00C2548D">
        <w:rPr>
          <w:rFonts w:eastAsia="Calibri"/>
          <w:lang w:val="fr-FR"/>
        </w:rPr>
        <w:t>il n</w:t>
      </w:r>
      <w:r w:rsidR="00C2548D">
        <w:rPr>
          <w:rFonts w:eastAsia="Calibri"/>
          <w:lang w:val="fr-FR"/>
        </w:rPr>
        <w:t>’</w:t>
      </w:r>
      <w:r w:rsidR="003F268E" w:rsidRPr="00C2548D">
        <w:rPr>
          <w:rFonts w:eastAsia="Calibri"/>
          <w:lang w:val="fr-FR"/>
        </w:rPr>
        <w:t>ét</w:t>
      </w:r>
      <w:r w:rsidR="009E4B46" w:rsidRPr="00C2548D">
        <w:rPr>
          <w:rFonts w:eastAsia="Calibri"/>
          <w:lang w:val="fr-FR"/>
        </w:rPr>
        <w:t xml:space="preserve">ait </w:t>
      </w:r>
      <w:r w:rsidR="003D23F7" w:rsidRPr="00C2548D">
        <w:rPr>
          <w:rFonts w:eastAsia="Calibri"/>
          <w:lang w:val="fr-FR"/>
        </w:rPr>
        <w:t xml:space="preserve">pas </w:t>
      </w:r>
      <w:r w:rsidR="009E4B46" w:rsidRPr="00C2548D">
        <w:rPr>
          <w:rFonts w:eastAsia="Calibri"/>
          <w:lang w:val="fr-FR"/>
        </w:rPr>
        <w:t>capable d</w:t>
      </w:r>
      <w:r w:rsidR="00C2548D">
        <w:rPr>
          <w:rFonts w:eastAsia="Calibri"/>
          <w:lang w:val="fr-FR"/>
        </w:rPr>
        <w:t>’</w:t>
      </w:r>
      <w:r w:rsidR="009E4B46" w:rsidRPr="00C2548D">
        <w:rPr>
          <w:rFonts w:eastAsia="Calibri"/>
          <w:lang w:val="fr-FR"/>
        </w:rPr>
        <w:t>exercer son rôle</w:t>
      </w:r>
      <w:r w:rsidR="009E2E79" w:rsidRPr="00C2548D">
        <w:rPr>
          <w:rFonts w:eastAsia="Calibri"/>
          <w:lang w:val="fr-FR"/>
        </w:rPr>
        <w:t xml:space="preserve"> parental</w:t>
      </w:r>
      <w:r w:rsidR="009E4B46" w:rsidRPr="00C2548D">
        <w:rPr>
          <w:rFonts w:eastAsia="Calibri"/>
          <w:lang w:val="fr-FR"/>
        </w:rPr>
        <w:t>.</w:t>
      </w:r>
    </w:p>
    <w:p w:rsidR="003F268E" w:rsidRPr="00C2548D" w:rsidRDefault="00EE069C" w:rsidP="000E6D7E">
      <w:pPr>
        <w:pStyle w:val="ECHRPara"/>
        <w:rPr>
          <w:rFonts w:eastAsia="Calibri"/>
          <w:lang w:val="fr-FR"/>
        </w:rPr>
      </w:pPr>
      <w:r w:rsidRPr="00C2548D">
        <w:rPr>
          <w:rFonts w:eastAsia="Calibri"/>
          <w:color w:val="000000"/>
          <w:lang w:val="fr-FR"/>
        </w:rPr>
        <w:t xml:space="preserve">La Cour </w:t>
      </w:r>
      <w:r w:rsidR="000268D7" w:rsidRPr="00C2548D">
        <w:rPr>
          <w:rFonts w:eastAsia="Calibri"/>
          <w:color w:val="000000"/>
          <w:lang w:val="fr-FR"/>
        </w:rPr>
        <w:t xml:space="preserve">relève encore </w:t>
      </w:r>
      <w:r w:rsidRPr="00C2548D">
        <w:rPr>
          <w:rFonts w:eastAsia="Calibri"/>
          <w:color w:val="000000"/>
          <w:lang w:val="fr-FR"/>
        </w:rPr>
        <w:t>qu</w:t>
      </w:r>
      <w:r w:rsidR="00C2548D">
        <w:rPr>
          <w:rFonts w:eastAsia="Calibri"/>
          <w:color w:val="000000"/>
          <w:lang w:val="fr-FR"/>
        </w:rPr>
        <w:t>’</w:t>
      </w:r>
      <w:r w:rsidRPr="00C2548D">
        <w:rPr>
          <w:rFonts w:eastAsia="Calibri"/>
          <w:color w:val="000000"/>
          <w:lang w:val="fr-FR"/>
        </w:rPr>
        <w:t>à sa sortie de prison</w:t>
      </w:r>
      <w:r w:rsidR="00B92E1D" w:rsidRPr="00C2548D">
        <w:rPr>
          <w:rFonts w:eastAsia="Calibri"/>
          <w:color w:val="000000"/>
          <w:lang w:val="fr-FR"/>
        </w:rPr>
        <w:t xml:space="preserve"> le requérant</w:t>
      </w:r>
      <w:r w:rsidRPr="00C2548D">
        <w:rPr>
          <w:rFonts w:eastAsia="Calibri"/>
          <w:color w:val="000000"/>
          <w:lang w:val="fr-FR"/>
        </w:rPr>
        <w:t xml:space="preserve"> a demandé tout de suite à rencontrer sa fille</w:t>
      </w:r>
      <w:r w:rsidR="000D6C8D" w:rsidRPr="00C2548D">
        <w:rPr>
          <w:rFonts w:eastAsia="Calibri"/>
          <w:color w:val="000000"/>
          <w:lang w:val="fr-FR"/>
        </w:rPr>
        <w:t xml:space="preserve">, </w:t>
      </w:r>
      <w:r w:rsidRPr="00C2548D">
        <w:rPr>
          <w:rFonts w:eastAsia="Calibri"/>
          <w:color w:val="000000"/>
          <w:lang w:val="fr-FR"/>
        </w:rPr>
        <w:t>lui a adressé des lettres et a fait les démarches juridiques nécessaires pour exercer son droit de visite. Elle</w:t>
      </w:r>
      <w:r w:rsidR="006767B6" w:rsidRPr="00C2548D">
        <w:rPr>
          <w:rFonts w:eastAsia="Calibri"/>
          <w:color w:val="000000"/>
          <w:lang w:val="fr-FR"/>
        </w:rPr>
        <w:t xml:space="preserve"> estime donc qu</w:t>
      </w:r>
      <w:r w:rsidR="00C2548D">
        <w:rPr>
          <w:rFonts w:eastAsia="Calibri"/>
          <w:color w:val="000000"/>
          <w:lang w:val="fr-FR"/>
        </w:rPr>
        <w:t>’</w:t>
      </w:r>
      <w:r w:rsidR="006767B6" w:rsidRPr="00C2548D">
        <w:rPr>
          <w:rFonts w:eastAsia="Calibri"/>
          <w:color w:val="000000"/>
          <w:lang w:val="fr-FR"/>
        </w:rPr>
        <w:t>on</w:t>
      </w:r>
      <w:r w:rsidRPr="00C2548D">
        <w:rPr>
          <w:rFonts w:eastAsia="Calibri"/>
          <w:color w:val="000000"/>
          <w:lang w:val="fr-FR"/>
        </w:rPr>
        <w:t xml:space="preserve"> ne saurait </w:t>
      </w:r>
      <w:r w:rsidR="005013F2" w:rsidRPr="00C2548D">
        <w:rPr>
          <w:rFonts w:eastAsia="Calibri"/>
          <w:color w:val="000000"/>
          <w:lang w:val="fr-FR"/>
        </w:rPr>
        <w:t>considérer</w:t>
      </w:r>
      <w:r w:rsidRPr="00C2548D">
        <w:rPr>
          <w:rFonts w:eastAsia="Calibri"/>
          <w:color w:val="000000"/>
          <w:lang w:val="fr-FR"/>
        </w:rPr>
        <w:t xml:space="preserve"> que le requérant se désintéressait de sa fille</w:t>
      </w:r>
      <w:r w:rsidR="00B92E1D" w:rsidRPr="00C2548D">
        <w:rPr>
          <w:rFonts w:eastAsia="Calibri"/>
          <w:color w:val="000000"/>
          <w:lang w:val="fr-FR"/>
        </w:rPr>
        <w:t>,</w:t>
      </w:r>
      <w:r w:rsidRPr="00C2548D">
        <w:rPr>
          <w:rFonts w:eastAsia="Calibri"/>
          <w:color w:val="000000"/>
          <w:lang w:val="fr-FR"/>
        </w:rPr>
        <w:t xml:space="preserve"> comme les juridictions internes l</w:t>
      </w:r>
      <w:r w:rsidR="00C2548D">
        <w:rPr>
          <w:rFonts w:eastAsia="Calibri"/>
          <w:color w:val="000000"/>
          <w:lang w:val="fr-FR"/>
        </w:rPr>
        <w:t>’</w:t>
      </w:r>
      <w:r w:rsidRPr="00C2548D">
        <w:rPr>
          <w:rFonts w:eastAsia="Calibri"/>
          <w:color w:val="000000"/>
          <w:lang w:val="fr-FR"/>
        </w:rPr>
        <w:t>ont affirmé. La Cour ne perd pas de vue qu</w:t>
      </w:r>
      <w:r w:rsidR="00C2548D">
        <w:rPr>
          <w:rFonts w:eastAsia="Calibri"/>
          <w:color w:val="000000"/>
          <w:lang w:val="fr-FR"/>
        </w:rPr>
        <w:t>’</w:t>
      </w:r>
      <w:r w:rsidR="006767B6" w:rsidRPr="00C2548D">
        <w:rPr>
          <w:rFonts w:eastAsia="Calibri"/>
          <w:color w:val="000000"/>
          <w:lang w:val="fr-FR"/>
        </w:rPr>
        <w:t>à sa sortie de prison</w:t>
      </w:r>
      <w:r w:rsidRPr="00C2548D">
        <w:rPr>
          <w:rFonts w:eastAsia="Calibri"/>
          <w:color w:val="000000"/>
          <w:lang w:val="fr-FR"/>
        </w:rPr>
        <w:t xml:space="preserve"> le requérant était sans travail </w:t>
      </w:r>
      <w:r w:rsidR="000268D7" w:rsidRPr="00C2548D">
        <w:rPr>
          <w:rFonts w:eastAsia="Calibri"/>
          <w:color w:val="000000"/>
          <w:lang w:val="fr-FR"/>
        </w:rPr>
        <w:t>et</w:t>
      </w:r>
      <w:r w:rsidRPr="00C2548D">
        <w:rPr>
          <w:rFonts w:eastAsia="Calibri"/>
          <w:color w:val="000000"/>
          <w:lang w:val="fr-FR"/>
        </w:rPr>
        <w:t xml:space="preserve"> n</w:t>
      </w:r>
      <w:r w:rsidR="00C2548D">
        <w:rPr>
          <w:rFonts w:eastAsia="Calibri"/>
          <w:color w:val="000000"/>
          <w:lang w:val="fr-FR"/>
        </w:rPr>
        <w:t>’</w:t>
      </w:r>
      <w:r w:rsidRPr="00C2548D">
        <w:rPr>
          <w:rFonts w:eastAsia="Calibri"/>
          <w:color w:val="000000"/>
          <w:lang w:val="fr-FR"/>
        </w:rPr>
        <w:t xml:space="preserve">avait pas de </w:t>
      </w:r>
      <w:r w:rsidR="006767B6" w:rsidRPr="00C2548D">
        <w:rPr>
          <w:rFonts w:eastAsia="Calibri"/>
          <w:color w:val="000000"/>
          <w:lang w:val="fr-FR"/>
        </w:rPr>
        <w:t xml:space="preserve">domicile </w:t>
      </w:r>
      <w:r w:rsidRPr="00C2548D">
        <w:rPr>
          <w:rFonts w:eastAsia="Calibri"/>
          <w:color w:val="000000"/>
          <w:lang w:val="fr-FR"/>
        </w:rPr>
        <w:t>fixe.</w:t>
      </w:r>
    </w:p>
    <w:p w:rsidR="00DA0CDA" w:rsidRPr="00C2548D" w:rsidRDefault="00C2548D" w:rsidP="00DA0CDA">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81</w:t>
      </w:r>
      <w:r>
        <w:rPr>
          <w:noProof/>
        </w:rPr>
        <w:fldChar w:fldCharType="end"/>
      </w:r>
      <w:r w:rsidR="00C97ED8" w:rsidRPr="00C2548D">
        <w:rPr>
          <w:lang w:val="fr-FR"/>
        </w:rPr>
        <w:t>.  </w:t>
      </w:r>
      <w:r w:rsidR="00EE7AA0" w:rsidRPr="00C2548D">
        <w:rPr>
          <w:lang w:val="fr-FR"/>
        </w:rPr>
        <w:t>La Cour doute du caractère adéquat des éléments sur lesquels les autorités se son</w:t>
      </w:r>
      <w:r w:rsidR="000268D7" w:rsidRPr="00C2548D">
        <w:rPr>
          <w:lang w:val="fr-FR"/>
        </w:rPr>
        <w:t>t appuyé</w:t>
      </w:r>
      <w:r w:rsidR="00B92E1D" w:rsidRPr="00C2548D">
        <w:rPr>
          <w:lang w:val="fr-FR"/>
        </w:rPr>
        <w:t>e</w:t>
      </w:r>
      <w:r w:rsidR="0099454D" w:rsidRPr="00C2548D">
        <w:rPr>
          <w:lang w:val="fr-FR"/>
        </w:rPr>
        <w:t>s pour conclure que le requérant n</w:t>
      </w:r>
      <w:r>
        <w:rPr>
          <w:lang w:val="fr-FR"/>
        </w:rPr>
        <w:t>’</w:t>
      </w:r>
      <w:r w:rsidR="0099454D" w:rsidRPr="00C2548D">
        <w:rPr>
          <w:lang w:val="fr-FR"/>
        </w:rPr>
        <w:t>était pas en mesure d</w:t>
      </w:r>
      <w:r>
        <w:rPr>
          <w:lang w:val="fr-FR"/>
        </w:rPr>
        <w:t>’</w:t>
      </w:r>
      <w:r w:rsidR="0099454D" w:rsidRPr="00C2548D">
        <w:rPr>
          <w:lang w:val="fr-FR"/>
        </w:rPr>
        <w:t>exercer son rôle parental et qu</w:t>
      </w:r>
      <w:r>
        <w:rPr>
          <w:lang w:val="fr-FR"/>
        </w:rPr>
        <w:t>’</w:t>
      </w:r>
      <w:r w:rsidR="0099454D" w:rsidRPr="00C2548D">
        <w:rPr>
          <w:lang w:val="fr-FR"/>
        </w:rPr>
        <w:t>il était dangereux pour l</w:t>
      </w:r>
      <w:r>
        <w:rPr>
          <w:lang w:val="fr-FR"/>
        </w:rPr>
        <w:t>’</w:t>
      </w:r>
      <w:r w:rsidR="0099454D" w:rsidRPr="00C2548D">
        <w:rPr>
          <w:lang w:val="fr-FR"/>
        </w:rPr>
        <w:t>enfant.</w:t>
      </w:r>
      <w:r w:rsidR="00DA0CDA" w:rsidRPr="00C2548D">
        <w:rPr>
          <w:lang w:val="fr-FR"/>
        </w:rPr>
        <w:t xml:space="preserve"> </w:t>
      </w:r>
      <w:r w:rsidR="00EE7AA0" w:rsidRPr="00C2548D">
        <w:rPr>
          <w:lang w:val="fr-FR"/>
        </w:rPr>
        <w:t>La Cour est d</w:t>
      </w:r>
      <w:r>
        <w:rPr>
          <w:lang w:val="fr-FR"/>
        </w:rPr>
        <w:t>’</w:t>
      </w:r>
      <w:r w:rsidR="00EE7AA0" w:rsidRPr="00C2548D">
        <w:rPr>
          <w:lang w:val="fr-FR"/>
        </w:rPr>
        <w:t xml:space="preserve">avis </w:t>
      </w:r>
      <w:r w:rsidR="00B92E1D" w:rsidRPr="00C2548D">
        <w:rPr>
          <w:lang w:val="fr-FR"/>
        </w:rPr>
        <w:t>qu</w:t>
      </w:r>
      <w:r>
        <w:rPr>
          <w:lang w:val="fr-FR"/>
        </w:rPr>
        <w:t>’</w:t>
      </w:r>
      <w:r w:rsidR="00B92E1D" w:rsidRPr="00C2548D">
        <w:rPr>
          <w:lang w:val="fr-FR"/>
        </w:rPr>
        <w:t>avant d</w:t>
      </w:r>
      <w:r>
        <w:rPr>
          <w:lang w:val="fr-FR"/>
        </w:rPr>
        <w:t>’</w:t>
      </w:r>
      <w:r w:rsidR="00B92E1D" w:rsidRPr="00C2548D">
        <w:rPr>
          <w:lang w:val="fr-FR"/>
        </w:rPr>
        <w:t>ouvrir une procédure d</w:t>
      </w:r>
      <w:r>
        <w:rPr>
          <w:lang w:val="fr-FR"/>
        </w:rPr>
        <w:t>’</w:t>
      </w:r>
      <w:r w:rsidR="00B92E1D" w:rsidRPr="00C2548D">
        <w:rPr>
          <w:lang w:val="fr-FR"/>
        </w:rPr>
        <w:t>adoptabilité,</w:t>
      </w:r>
      <w:r w:rsidR="00EE7AA0" w:rsidRPr="00C2548D">
        <w:rPr>
          <w:lang w:val="fr-FR"/>
        </w:rPr>
        <w:t xml:space="preserve"> les autorités auraient dû prendre des mesures concrètes pour permettre à l</w:t>
      </w:r>
      <w:r>
        <w:rPr>
          <w:lang w:val="fr-FR"/>
        </w:rPr>
        <w:t>’</w:t>
      </w:r>
      <w:r w:rsidR="00EE7AA0" w:rsidRPr="00C2548D">
        <w:rPr>
          <w:lang w:val="fr-FR"/>
        </w:rPr>
        <w:t xml:space="preserve">enfant </w:t>
      </w:r>
      <w:r w:rsidR="00B92E1D" w:rsidRPr="00C2548D">
        <w:rPr>
          <w:lang w:val="fr-FR"/>
        </w:rPr>
        <w:t xml:space="preserve">de </w:t>
      </w:r>
      <w:r w:rsidR="0099454D" w:rsidRPr="00C2548D">
        <w:rPr>
          <w:lang w:val="fr-FR"/>
        </w:rPr>
        <w:t xml:space="preserve">renouer </w:t>
      </w:r>
      <w:r w:rsidR="00B92E1D" w:rsidRPr="00C2548D">
        <w:rPr>
          <w:lang w:val="fr-FR"/>
        </w:rPr>
        <w:t>des liens</w:t>
      </w:r>
      <w:r w:rsidR="0099454D" w:rsidRPr="00C2548D">
        <w:rPr>
          <w:lang w:val="fr-FR"/>
        </w:rPr>
        <w:t xml:space="preserve"> avec son père</w:t>
      </w:r>
      <w:r w:rsidR="00B92E1D" w:rsidRPr="00C2548D">
        <w:rPr>
          <w:lang w:val="fr-FR"/>
        </w:rPr>
        <w:t> ; et cela</w:t>
      </w:r>
      <w:r w:rsidR="00DA0CDA" w:rsidRPr="00C2548D">
        <w:rPr>
          <w:lang w:val="fr-FR"/>
        </w:rPr>
        <w:t xml:space="preserve"> d</w:t>
      </w:r>
      <w:r>
        <w:rPr>
          <w:lang w:val="fr-FR"/>
        </w:rPr>
        <w:t>’</w:t>
      </w:r>
      <w:r w:rsidR="00DA0CDA" w:rsidRPr="00C2548D">
        <w:rPr>
          <w:lang w:val="fr-FR"/>
        </w:rPr>
        <w:t xml:space="preserve">autant plus que le requérant avait passé </w:t>
      </w:r>
      <w:r w:rsidR="009E4B46" w:rsidRPr="00C2548D">
        <w:rPr>
          <w:lang w:val="fr-FR"/>
        </w:rPr>
        <w:t xml:space="preserve">trois ans sans avoir </w:t>
      </w:r>
      <w:r w:rsidR="00DA0CDA" w:rsidRPr="00C2548D">
        <w:rPr>
          <w:lang w:val="fr-FR"/>
        </w:rPr>
        <w:t>aucun contact avec sa fille</w:t>
      </w:r>
      <w:r w:rsidR="006C1263" w:rsidRPr="00C2548D">
        <w:rPr>
          <w:lang w:val="fr-FR"/>
        </w:rPr>
        <w:t>, dont les deux années passées en détention</w:t>
      </w:r>
      <w:r w:rsidR="00DA0CDA" w:rsidRPr="00C2548D">
        <w:rPr>
          <w:lang w:val="fr-FR"/>
        </w:rPr>
        <w:t>.</w:t>
      </w:r>
    </w:p>
    <w:p w:rsidR="00EE7AA0" w:rsidRPr="00C2548D" w:rsidRDefault="00DA0CDA" w:rsidP="00DA0CDA">
      <w:pPr>
        <w:pStyle w:val="ECHRPara"/>
        <w:rPr>
          <w:i/>
          <w:lang w:val="fr-FR"/>
        </w:rPr>
      </w:pPr>
      <w:r w:rsidRPr="00DA0CDA">
        <w:fldChar w:fldCharType="begin"/>
      </w:r>
      <w:r w:rsidRPr="000E6D7E">
        <w:rPr>
          <w:lang w:val="fr-FR"/>
        </w:rPr>
        <w:instrText xml:space="preserve"> SEQ level0 \*arabic </w:instrText>
      </w:r>
      <w:r w:rsidRPr="00DA0CDA">
        <w:fldChar w:fldCharType="separate"/>
      </w:r>
      <w:r w:rsidR="00205039" w:rsidRPr="000E6D7E">
        <w:rPr>
          <w:noProof/>
          <w:lang w:val="fr-FR"/>
        </w:rPr>
        <w:t>82</w:t>
      </w:r>
      <w:r w:rsidRPr="00DA0CDA">
        <w:fldChar w:fldCharType="end"/>
      </w:r>
      <w:r w:rsidR="009D4574" w:rsidRPr="000E6D7E">
        <w:rPr>
          <w:lang w:val="fr-FR"/>
        </w:rPr>
        <w:t>.  La Cour</w:t>
      </w:r>
      <w:r w:rsidR="00EE7AA0" w:rsidRPr="000E6D7E">
        <w:rPr>
          <w:lang w:val="fr-FR"/>
        </w:rPr>
        <w:t xml:space="preserve"> </w:t>
      </w:r>
      <w:r w:rsidR="006C1263" w:rsidRPr="000E6D7E">
        <w:rPr>
          <w:lang w:val="fr-FR"/>
        </w:rPr>
        <w:t xml:space="preserve">réaffirme </w:t>
      </w:r>
      <w:r w:rsidR="00EE7AA0" w:rsidRPr="000E6D7E">
        <w:rPr>
          <w:lang w:val="fr-FR"/>
        </w:rPr>
        <w:t>que le rôle des autorités de protection sociale est précisément d</w:t>
      </w:r>
      <w:r w:rsidR="00C2548D">
        <w:rPr>
          <w:lang w:val="fr-FR"/>
        </w:rPr>
        <w:t>’</w:t>
      </w:r>
      <w:r w:rsidR="00EE7AA0" w:rsidRPr="000E6D7E">
        <w:rPr>
          <w:lang w:val="fr-FR"/>
        </w:rPr>
        <w:t>aider les personnes en difficulté, de les guider dans leurs démarches et de les conseiller, entre autres, quant aux différents types d</w:t>
      </w:r>
      <w:r w:rsidR="00C2548D">
        <w:rPr>
          <w:lang w:val="fr-FR"/>
        </w:rPr>
        <w:t>’</w:t>
      </w:r>
      <w:r w:rsidR="00EE7AA0" w:rsidRPr="000E6D7E">
        <w:rPr>
          <w:lang w:val="fr-FR"/>
        </w:rPr>
        <w:t>allocations sociales disponibles, aux possibilités d</w:t>
      </w:r>
      <w:r w:rsidR="00C2548D">
        <w:rPr>
          <w:lang w:val="fr-FR"/>
        </w:rPr>
        <w:t>’</w:t>
      </w:r>
      <w:r w:rsidR="00EE7AA0" w:rsidRPr="000E6D7E">
        <w:rPr>
          <w:lang w:val="fr-FR"/>
        </w:rPr>
        <w:t>obtenir un logement social ou aux autres moyens de surmonter leurs difficultés (</w:t>
      </w:r>
      <w:r w:rsidR="00EE7AA0" w:rsidRPr="000E6D7E">
        <w:rPr>
          <w:i/>
          <w:lang w:val="fr-FR"/>
        </w:rPr>
        <w:t>Saviny</w:t>
      </w:r>
      <w:r w:rsidR="000E6D7E" w:rsidRPr="000E6D7E">
        <w:rPr>
          <w:i/>
          <w:lang w:val="fr-FR"/>
        </w:rPr>
        <w:t xml:space="preserve"> c. </w:t>
      </w:r>
      <w:r w:rsidR="0054005F" w:rsidRPr="000E6D7E">
        <w:rPr>
          <w:i/>
          <w:lang w:val="fr-FR"/>
        </w:rPr>
        <w:t>Ukraine</w:t>
      </w:r>
      <w:r w:rsidR="0054005F" w:rsidRPr="000E6D7E">
        <w:rPr>
          <w:lang w:val="fr-FR"/>
        </w:rPr>
        <w:t>, n</w:t>
      </w:r>
      <w:r w:rsidR="0054005F" w:rsidRPr="000E6D7E">
        <w:rPr>
          <w:vertAlign w:val="superscript"/>
          <w:lang w:val="fr-FR"/>
        </w:rPr>
        <w:t>o</w:t>
      </w:r>
      <w:r w:rsidR="0054005F" w:rsidRPr="000E6D7E">
        <w:rPr>
          <w:lang w:val="fr-FR"/>
        </w:rPr>
        <w:t xml:space="preserve"> 39948/06, § 57, 18 décembre 2008 </w:t>
      </w:r>
      <w:r w:rsidR="00EE7AA0" w:rsidRPr="000E6D7E">
        <w:rPr>
          <w:lang w:val="fr-FR"/>
        </w:rPr>
        <w:t xml:space="preserve">; </w:t>
      </w:r>
      <w:r w:rsidR="00EE7AA0" w:rsidRPr="000E6D7E">
        <w:rPr>
          <w:i/>
          <w:lang w:val="fr-FR"/>
        </w:rPr>
        <w:t>R.M.S. c. Espagne</w:t>
      </w:r>
      <w:r w:rsidR="00EE7AA0" w:rsidRPr="000E6D7E">
        <w:rPr>
          <w:lang w:val="fr-FR"/>
        </w:rPr>
        <w:t xml:space="preserve"> </w:t>
      </w:r>
      <w:r w:rsidR="006767B6" w:rsidRPr="000E6D7E">
        <w:rPr>
          <w:lang w:val="fr-FR"/>
        </w:rPr>
        <w:t>n</w:t>
      </w:r>
      <w:r w:rsidR="006767B6" w:rsidRPr="000E6D7E">
        <w:rPr>
          <w:vertAlign w:val="superscript"/>
          <w:lang w:val="fr-FR"/>
        </w:rPr>
        <w:t>o</w:t>
      </w:r>
      <w:r w:rsidR="009F21FF" w:rsidRPr="000E6D7E">
        <w:rPr>
          <w:lang w:val="fr-FR"/>
        </w:rPr>
        <w:t> </w:t>
      </w:r>
      <w:hyperlink r:id="rId23" w:anchor="{&quot;appno&quot;:[&quot;28775/12&quot;]}" w:tgtFrame="_blank" w:history="1">
        <w:r w:rsidR="00EE7AA0" w:rsidRPr="000E6D7E">
          <w:rPr>
            <w:rStyle w:val="Hyperlink"/>
            <w:color w:val="auto"/>
            <w:u w:val="none"/>
            <w:lang w:val="fr-FR"/>
          </w:rPr>
          <w:t>28775/12</w:t>
        </w:r>
      </w:hyperlink>
      <w:r w:rsidR="00EE7AA0" w:rsidRPr="000E6D7E">
        <w:rPr>
          <w:lang w:val="fr-FR"/>
        </w:rPr>
        <w:t>, § 86, 18 juin 2013). Dans le cas des personnes vulnérables, les autorités doivent faire preuve d</w:t>
      </w:r>
      <w:r w:rsidR="00C2548D">
        <w:rPr>
          <w:lang w:val="fr-FR"/>
        </w:rPr>
        <w:t>’</w:t>
      </w:r>
      <w:r w:rsidR="00EE7AA0" w:rsidRPr="000E6D7E">
        <w:rPr>
          <w:lang w:val="fr-FR"/>
        </w:rPr>
        <w:t xml:space="preserve">une attention particulière et doivent leur assurer </w:t>
      </w:r>
      <w:r w:rsidR="00EE7AA0" w:rsidRPr="00C2548D">
        <w:rPr>
          <w:lang w:val="fr-FR"/>
        </w:rPr>
        <w:t>une protection accrue (</w:t>
      </w:r>
      <w:r w:rsidR="00EE7AA0" w:rsidRPr="00C2548D">
        <w:rPr>
          <w:i/>
          <w:lang w:val="fr-FR"/>
        </w:rPr>
        <w:t>B. c. Roumanie (</w:t>
      </w:r>
      <w:r w:rsidR="006767B6" w:rsidRPr="00C2548D">
        <w:rPr>
          <w:i/>
          <w:lang w:val="fr-FR"/>
        </w:rPr>
        <w:t>n</w:t>
      </w:r>
      <w:r w:rsidR="006767B6" w:rsidRPr="00C2548D">
        <w:rPr>
          <w:i/>
          <w:vertAlign w:val="superscript"/>
          <w:lang w:val="fr-FR"/>
        </w:rPr>
        <w:t>o</w:t>
      </w:r>
      <w:r w:rsidR="00EE7AA0" w:rsidRPr="00C2548D">
        <w:rPr>
          <w:i/>
          <w:lang w:val="fr-FR"/>
        </w:rPr>
        <w:t xml:space="preserve"> 2),</w:t>
      </w:r>
      <w:r w:rsidR="00EE7AA0" w:rsidRPr="00C2548D">
        <w:rPr>
          <w:lang w:val="fr-FR"/>
        </w:rPr>
        <w:t xml:space="preserve"> </w:t>
      </w:r>
      <w:r w:rsidR="006767B6" w:rsidRPr="00C2548D">
        <w:rPr>
          <w:lang w:val="fr-FR"/>
        </w:rPr>
        <w:t>n</w:t>
      </w:r>
      <w:r w:rsidR="006767B6" w:rsidRPr="00C2548D">
        <w:rPr>
          <w:vertAlign w:val="superscript"/>
          <w:lang w:val="fr-FR"/>
        </w:rPr>
        <w:t>o</w:t>
      </w:r>
      <w:r w:rsidR="00EE7AA0" w:rsidRPr="00C2548D">
        <w:rPr>
          <w:lang w:val="fr-FR"/>
        </w:rPr>
        <w:t xml:space="preserve"> </w:t>
      </w:r>
      <w:hyperlink r:id="rId24" w:anchor="{&quot;appno&quot;:[&quot;1285/03&quot;]}" w:tgtFrame="_blank" w:history="1">
        <w:r w:rsidR="00EE7AA0" w:rsidRPr="00C2548D">
          <w:rPr>
            <w:rStyle w:val="Hyperlink"/>
            <w:color w:val="auto"/>
            <w:u w:val="none"/>
            <w:lang w:val="fr-FR"/>
          </w:rPr>
          <w:t>1285/03</w:t>
        </w:r>
      </w:hyperlink>
      <w:r w:rsidR="00EE7AA0" w:rsidRPr="00C2548D">
        <w:rPr>
          <w:lang w:val="fr-FR"/>
        </w:rPr>
        <w:t>, §§ 86 et 114, 19 février 2013</w:t>
      </w:r>
      <w:r w:rsidR="00B92E1D" w:rsidRPr="00C2548D">
        <w:rPr>
          <w:lang w:val="fr-FR"/>
        </w:rPr>
        <w:t> </w:t>
      </w:r>
      <w:r w:rsidR="00EE7AA0" w:rsidRPr="00C2548D">
        <w:rPr>
          <w:lang w:val="fr-FR"/>
        </w:rPr>
        <w:t xml:space="preserve">; </w:t>
      </w:r>
      <w:r w:rsidR="00EE7AA0" w:rsidRPr="00C2548D">
        <w:rPr>
          <w:i/>
          <w:lang w:val="fr-FR"/>
        </w:rPr>
        <w:t>Todorova c. Italie,</w:t>
      </w:r>
      <w:r w:rsidR="00EE7AA0" w:rsidRPr="00C2548D">
        <w:rPr>
          <w:lang w:val="fr-FR"/>
        </w:rPr>
        <w:t xml:space="preserve"> </w:t>
      </w:r>
      <w:r w:rsidR="006767B6" w:rsidRPr="00C2548D">
        <w:rPr>
          <w:lang w:val="fr-FR"/>
        </w:rPr>
        <w:t>n</w:t>
      </w:r>
      <w:r w:rsidR="006767B6" w:rsidRPr="00C2548D">
        <w:rPr>
          <w:vertAlign w:val="superscript"/>
          <w:lang w:val="fr-FR"/>
        </w:rPr>
        <w:t>o</w:t>
      </w:r>
      <w:r w:rsidR="00EE7AA0" w:rsidRPr="00C2548D">
        <w:rPr>
          <w:lang w:val="fr-FR"/>
        </w:rPr>
        <w:t xml:space="preserve"> </w:t>
      </w:r>
      <w:hyperlink r:id="rId25" w:anchor="{&quot;appno&quot;:[&quot;33932/06&quot;]}" w:tgtFrame="_blank" w:history="1">
        <w:r w:rsidR="00EE7AA0" w:rsidRPr="00C2548D">
          <w:rPr>
            <w:rStyle w:val="Hyperlink"/>
            <w:color w:val="auto"/>
            <w:u w:val="none"/>
            <w:lang w:val="fr-FR"/>
          </w:rPr>
          <w:t>33932/06</w:t>
        </w:r>
      </w:hyperlink>
      <w:r w:rsidR="00EE7AA0" w:rsidRPr="00C2548D">
        <w:rPr>
          <w:lang w:val="fr-FR"/>
        </w:rPr>
        <w:t>, § 75, 13 janvier 2009</w:t>
      </w:r>
      <w:r w:rsidR="009B2E37" w:rsidRPr="00C2548D">
        <w:rPr>
          <w:lang w:val="fr-FR"/>
        </w:rPr>
        <w:t xml:space="preserve">, </w:t>
      </w:r>
      <w:r w:rsidR="009B2E37" w:rsidRPr="00C2548D">
        <w:rPr>
          <w:i/>
          <w:lang w:val="fr-FR"/>
        </w:rPr>
        <w:t>Zhou</w:t>
      </w:r>
      <w:r w:rsidR="000B0DAD" w:rsidRPr="00C2548D">
        <w:rPr>
          <w:i/>
          <w:lang w:val="fr-FR"/>
        </w:rPr>
        <w:t>,</w:t>
      </w:r>
      <w:r w:rsidR="009B2E37" w:rsidRPr="00C2548D">
        <w:rPr>
          <w:i/>
          <w:lang w:val="fr-FR"/>
        </w:rPr>
        <w:t xml:space="preserve"> </w:t>
      </w:r>
      <w:r w:rsidR="00EA02C7" w:rsidRPr="00C2548D">
        <w:rPr>
          <w:lang w:val="fr-FR"/>
        </w:rPr>
        <w:t>précité</w:t>
      </w:r>
      <w:r w:rsidR="009B2E37" w:rsidRPr="00C2548D">
        <w:rPr>
          <w:lang w:val="fr-FR"/>
        </w:rPr>
        <w:t>, §</w:t>
      </w:r>
      <w:r w:rsidR="00EA02C7" w:rsidRPr="00C2548D">
        <w:rPr>
          <w:lang w:val="fr-FR"/>
        </w:rPr>
        <w:t>§ 58-59</w:t>
      </w:r>
      <w:r w:rsidR="00EE7AA0" w:rsidRPr="00C2548D">
        <w:rPr>
          <w:lang w:val="fr-FR"/>
        </w:rPr>
        <w:t>).</w:t>
      </w:r>
    </w:p>
    <w:p w:rsidR="009E4B46" w:rsidRPr="00C2548D" w:rsidRDefault="00EA02C7" w:rsidP="000E6D7E">
      <w:pPr>
        <w:pStyle w:val="ECHRPara"/>
        <w:rPr>
          <w:rFonts w:eastAsia="Calibri"/>
          <w:lang w:val="fr-FR"/>
        </w:rPr>
      </w:pPr>
      <w:r>
        <w:rPr>
          <w:rFonts w:eastAsia="Calibri"/>
        </w:rPr>
        <w:fldChar w:fldCharType="begin"/>
      </w:r>
      <w:r w:rsidRPr="00C2548D">
        <w:rPr>
          <w:rFonts w:eastAsia="Calibri"/>
          <w:lang w:val="fr-FR"/>
        </w:rPr>
        <w:instrText xml:space="preserve"> SEQ level0 \*arabic </w:instrText>
      </w:r>
      <w:r>
        <w:rPr>
          <w:rFonts w:eastAsia="Calibri"/>
        </w:rPr>
        <w:fldChar w:fldCharType="separate"/>
      </w:r>
      <w:r w:rsidR="00205039" w:rsidRPr="00C2548D">
        <w:rPr>
          <w:rFonts w:eastAsia="Calibri"/>
          <w:noProof/>
          <w:lang w:val="fr-FR"/>
        </w:rPr>
        <w:t>83</w:t>
      </w:r>
      <w:r>
        <w:rPr>
          <w:rFonts w:eastAsia="Calibri"/>
        </w:rPr>
        <w:fldChar w:fldCharType="end"/>
      </w:r>
      <w:r w:rsidRPr="00C2548D">
        <w:rPr>
          <w:rFonts w:eastAsia="Calibri"/>
          <w:lang w:val="fr-FR"/>
        </w:rPr>
        <w:t>.  </w:t>
      </w:r>
      <w:r w:rsidR="003F268E" w:rsidRPr="00C2548D">
        <w:rPr>
          <w:rFonts w:eastAsia="Calibri"/>
          <w:lang w:val="fr-FR"/>
        </w:rPr>
        <w:t>En l</w:t>
      </w:r>
      <w:r w:rsidR="00C2548D">
        <w:rPr>
          <w:rFonts w:eastAsia="Calibri"/>
          <w:lang w:val="fr-FR"/>
        </w:rPr>
        <w:t>’</w:t>
      </w:r>
      <w:r w:rsidR="003F268E" w:rsidRPr="00C2548D">
        <w:rPr>
          <w:rFonts w:eastAsia="Calibri"/>
          <w:lang w:val="fr-FR"/>
        </w:rPr>
        <w:t>espèce, la Cour est d</w:t>
      </w:r>
      <w:r w:rsidR="00C2548D">
        <w:rPr>
          <w:rFonts w:eastAsia="Calibri"/>
          <w:lang w:val="fr-FR"/>
        </w:rPr>
        <w:t>’</w:t>
      </w:r>
      <w:r w:rsidR="003F268E" w:rsidRPr="00C2548D">
        <w:rPr>
          <w:rFonts w:eastAsia="Calibri"/>
          <w:lang w:val="fr-FR"/>
        </w:rPr>
        <w:t>avis que la nécessité, qui était primordiale, de préserver</w:t>
      </w:r>
      <w:r w:rsidR="0054005F" w:rsidRPr="00C2548D">
        <w:rPr>
          <w:rFonts w:eastAsia="Calibri"/>
          <w:lang w:val="fr-FR"/>
        </w:rPr>
        <w:t xml:space="preserve"> </w:t>
      </w:r>
      <w:r w:rsidR="003F268E" w:rsidRPr="00C2548D">
        <w:rPr>
          <w:rFonts w:eastAsia="Calibri"/>
          <w:lang w:val="fr-FR"/>
        </w:rPr>
        <w:t xml:space="preserve">autant que possible le lien entre le requérant </w:t>
      </w:r>
      <w:r w:rsidR="006C5380" w:rsidRPr="00C2548D">
        <w:rPr>
          <w:rFonts w:eastAsia="Calibri"/>
          <w:lang w:val="fr-FR"/>
        </w:rPr>
        <w:t>et sa fille n</w:t>
      </w:r>
      <w:r w:rsidR="00C2548D">
        <w:rPr>
          <w:rFonts w:eastAsia="Calibri"/>
          <w:lang w:val="fr-FR"/>
        </w:rPr>
        <w:t>’</w:t>
      </w:r>
      <w:r w:rsidR="006C5380" w:rsidRPr="00C2548D">
        <w:rPr>
          <w:rFonts w:eastAsia="Calibri"/>
          <w:lang w:val="fr-FR"/>
        </w:rPr>
        <w:t xml:space="preserve">a pas été dûment </w:t>
      </w:r>
      <w:r w:rsidR="0054005F" w:rsidRPr="00C2548D">
        <w:rPr>
          <w:rFonts w:eastAsia="Calibri"/>
          <w:lang w:val="fr-FR"/>
        </w:rPr>
        <w:t xml:space="preserve">prise </w:t>
      </w:r>
      <w:r w:rsidR="006C5380" w:rsidRPr="00C2548D">
        <w:rPr>
          <w:rFonts w:eastAsia="Calibri"/>
          <w:lang w:val="fr-FR"/>
        </w:rPr>
        <w:t>en considération – sachant que l</w:t>
      </w:r>
      <w:r w:rsidR="00C2548D">
        <w:rPr>
          <w:rFonts w:eastAsia="Calibri"/>
          <w:lang w:val="fr-FR"/>
        </w:rPr>
        <w:t>’</w:t>
      </w:r>
      <w:r w:rsidR="006C5380" w:rsidRPr="00C2548D">
        <w:rPr>
          <w:rFonts w:eastAsia="Calibri"/>
          <w:lang w:val="fr-FR"/>
        </w:rPr>
        <w:t xml:space="preserve">intéressé se trouvait </w:t>
      </w:r>
      <w:r w:rsidR="003F268E" w:rsidRPr="00C2548D">
        <w:rPr>
          <w:rFonts w:eastAsia="Calibri"/>
          <w:lang w:val="fr-FR"/>
        </w:rPr>
        <w:t>par ailleurs en situation de vulnérabilité, compte tenu de ce qu</w:t>
      </w:r>
      <w:r w:rsidR="00C2548D">
        <w:rPr>
          <w:rFonts w:eastAsia="Calibri"/>
          <w:lang w:val="fr-FR"/>
        </w:rPr>
        <w:t>’</w:t>
      </w:r>
      <w:r w:rsidR="003F268E" w:rsidRPr="00C2548D">
        <w:rPr>
          <w:rFonts w:eastAsia="Calibri"/>
          <w:lang w:val="fr-FR"/>
        </w:rPr>
        <w:t xml:space="preserve">il était étranger et venait de sortir de prison après </w:t>
      </w:r>
      <w:r w:rsidR="00EE069C" w:rsidRPr="00C2548D">
        <w:rPr>
          <w:rFonts w:eastAsia="Calibri"/>
          <w:lang w:val="fr-FR"/>
        </w:rPr>
        <w:t xml:space="preserve">deux ans de </w:t>
      </w:r>
      <w:r w:rsidR="009E4B46" w:rsidRPr="00C2548D">
        <w:rPr>
          <w:rFonts w:eastAsia="Calibri"/>
          <w:lang w:val="fr-FR"/>
        </w:rPr>
        <w:t>détention</w:t>
      </w:r>
      <w:r w:rsidR="00E32A30" w:rsidRPr="00C2548D">
        <w:rPr>
          <w:rFonts w:eastAsia="Calibri"/>
          <w:lang w:val="fr-FR"/>
        </w:rPr>
        <w:t xml:space="preserve"> </w:t>
      </w:r>
      <w:r w:rsidR="00D73835" w:rsidRPr="00C2548D">
        <w:rPr>
          <w:rFonts w:eastAsia="Calibri"/>
          <w:lang w:val="fr-FR"/>
        </w:rPr>
        <w:t>injuste,</w:t>
      </w:r>
      <w:r w:rsidR="006C5380" w:rsidRPr="00C2548D">
        <w:rPr>
          <w:rFonts w:eastAsia="Calibri"/>
          <w:lang w:val="fr-FR"/>
        </w:rPr>
        <w:t xml:space="preserve"> puisqu</w:t>
      </w:r>
      <w:r w:rsidR="00C2548D">
        <w:rPr>
          <w:rFonts w:eastAsia="Calibri"/>
          <w:lang w:val="fr-FR"/>
        </w:rPr>
        <w:t>’</w:t>
      </w:r>
      <w:r w:rsidR="006C5380" w:rsidRPr="00C2548D">
        <w:rPr>
          <w:rFonts w:eastAsia="Calibri"/>
          <w:lang w:val="fr-FR"/>
        </w:rPr>
        <w:t>il a été acquitté</w:t>
      </w:r>
      <w:r w:rsidR="003F268E" w:rsidRPr="00C2548D">
        <w:rPr>
          <w:rFonts w:eastAsia="Calibri"/>
          <w:lang w:val="fr-FR"/>
        </w:rPr>
        <w:t>.</w:t>
      </w:r>
    </w:p>
    <w:p w:rsidR="003F268E" w:rsidRPr="00C2548D" w:rsidRDefault="003F268E" w:rsidP="000E6D7E">
      <w:pPr>
        <w:pStyle w:val="ECHRPara"/>
        <w:rPr>
          <w:rFonts w:eastAsia="Calibri"/>
          <w:lang w:val="fr-FR"/>
        </w:rPr>
      </w:pPr>
      <w:r w:rsidRPr="00C2548D">
        <w:rPr>
          <w:rFonts w:eastAsia="Calibri"/>
          <w:color w:val="000000"/>
          <w:lang w:val="fr-FR"/>
        </w:rPr>
        <w:t xml:space="preserve">La Cour </w:t>
      </w:r>
      <w:r w:rsidR="00D17DFA" w:rsidRPr="00C2548D">
        <w:rPr>
          <w:rFonts w:eastAsia="Calibri"/>
          <w:color w:val="000000"/>
          <w:lang w:val="fr-FR"/>
        </w:rPr>
        <w:t>note</w:t>
      </w:r>
      <w:r w:rsidRPr="00C2548D">
        <w:rPr>
          <w:rFonts w:eastAsia="Calibri"/>
          <w:color w:val="000000"/>
          <w:lang w:val="fr-FR"/>
        </w:rPr>
        <w:t xml:space="preserve"> que la décision de </w:t>
      </w:r>
      <w:r w:rsidR="006C5380" w:rsidRPr="00C2548D">
        <w:rPr>
          <w:rFonts w:eastAsia="Calibri"/>
          <w:color w:val="000000"/>
          <w:lang w:val="fr-FR"/>
        </w:rPr>
        <w:t xml:space="preserve">rompre </w:t>
      </w:r>
      <w:r w:rsidRPr="00C2548D">
        <w:rPr>
          <w:rFonts w:eastAsia="Calibri"/>
          <w:color w:val="000000"/>
          <w:lang w:val="fr-FR"/>
        </w:rPr>
        <w:t>le lien familial n</w:t>
      </w:r>
      <w:r w:rsidR="00C2548D">
        <w:rPr>
          <w:rFonts w:eastAsia="Calibri"/>
          <w:color w:val="000000"/>
          <w:lang w:val="fr-FR"/>
        </w:rPr>
        <w:t>’</w:t>
      </w:r>
      <w:r w:rsidRPr="00C2548D">
        <w:rPr>
          <w:rFonts w:eastAsia="Calibri"/>
          <w:color w:val="000000"/>
          <w:lang w:val="fr-FR"/>
        </w:rPr>
        <w:t>a</w:t>
      </w:r>
      <w:r w:rsidR="0054005F" w:rsidRPr="00C2548D">
        <w:rPr>
          <w:rFonts w:eastAsia="Calibri"/>
          <w:color w:val="000000"/>
          <w:lang w:val="fr-FR"/>
        </w:rPr>
        <w:t>it</w:t>
      </w:r>
      <w:r w:rsidRPr="00C2548D">
        <w:rPr>
          <w:rFonts w:eastAsia="Calibri"/>
          <w:color w:val="000000"/>
          <w:lang w:val="fr-FR"/>
        </w:rPr>
        <w:t xml:space="preserve"> été </w:t>
      </w:r>
      <w:r w:rsidR="006C5380" w:rsidRPr="00C2548D">
        <w:rPr>
          <w:rFonts w:eastAsia="Calibri"/>
          <w:color w:val="000000"/>
          <w:lang w:val="fr-FR"/>
        </w:rPr>
        <w:t>précédée d</w:t>
      </w:r>
      <w:r w:rsidR="00C2548D">
        <w:rPr>
          <w:rFonts w:eastAsia="Calibri"/>
          <w:color w:val="000000"/>
          <w:lang w:val="fr-FR"/>
        </w:rPr>
        <w:t>’</w:t>
      </w:r>
      <w:r w:rsidR="009D4574" w:rsidRPr="00C2548D">
        <w:rPr>
          <w:rFonts w:eastAsia="Calibri"/>
          <w:color w:val="000000"/>
          <w:lang w:val="fr-FR"/>
        </w:rPr>
        <w:t>une</w:t>
      </w:r>
      <w:r w:rsidRPr="00C2548D">
        <w:rPr>
          <w:rFonts w:eastAsia="Calibri"/>
          <w:color w:val="000000"/>
          <w:lang w:val="fr-FR"/>
        </w:rPr>
        <w:t xml:space="preserve"> évaluation sérieuse et attentive de la capacité du requérant </w:t>
      </w:r>
      <w:r w:rsidR="006C5380" w:rsidRPr="00C2548D">
        <w:rPr>
          <w:rFonts w:eastAsia="Calibri"/>
          <w:color w:val="000000"/>
          <w:lang w:val="fr-FR"/>
        </w:rPr>
        <w:t xml:space="preserve">à </w:t>
      </w:r>
      <w:r w:rsidRPr="00C2548D">
        <w:rPr>
          <w:rFonts w:eastAsia="Calibri"/>
          <w:color w:val="000000"/>
          <w:lang w:val="fr-FR"/>
        </w:rPr>
        <w:t xml:space="preserve">exercer son rôle de parent, </w:t>
      </w:r>
      <w:r w:rsidR="00312771" w:rsidRPr="00C2548D">
        <w:rPr>
          <w:rFonts w:eastAsia="Calibri"/>
          <w:color w:val="000000"/>
          <w:lang w:val="fr-FR"/>
        </w:rPr>
        <w:t>et notamment d</w:t>
      </w:r>
      <w:r w:rsidR="00C2548D">
        <w:rPr>
          <w:rFonts w:eastAsia="Calibri"/>
          <w:color w:val="000000"/>
          <w:lang w:val="fr-FR"/>
        </w:rPr>
        <w:t>’</w:t>
      </w:r>
      <w:r w:rsidRPr="00C2548D">
        <w:rPr>
          <w:rFonts w:eastAsia="Calibri"/>
          <w:color w:val="000000"/>
          <w:lang w:val="fr-FR"/>
        </w:rPr>
        <w:t>aucune expertise psychologique, et qu</w:t>
      </w:r>
      <w:r w:rsidR="00C2548D">
        <w:rPr>
          <w:rFonts w:eastAsia="Calibri"/>
          <w:color w:val="000000"/>
          <w:lang w:val="fr-FR"/>
        </w:rPr>
        <w:t>’</w:t>
      </w:r>
      <w:r w:rsidRPr="00C2548D">
        <w:rPr>
          <w:rFonts w:eastAsia="Calibri"/>
          <w:color w:val="000000"/>
          <w:lang w:val="fr-FR"/>
        </w:rPr>
        <w:t>aucune tentative de sauvegarder le lien n</w:t>
      </w:r>
      <w:r w:rsidR="00C2548D">
        <w:rPr>
          <w:rFonts w:eastAsia="Calibri"/>
          <w:color w:val="000000"/>
          <w:lang w:val="fr-FR"/>
        </w:rPr>
        <w:t>’</w:t>
      </w:r>
      <w:r w:rsidRPr="00C2548D">
        <w:rPr>
          <w:rFonts w:eastAsia="Calibri"/>
          <w:color w:val="000000"/>
          <w:lang w:val="fr-FR"/>
        </w:rPr>
        <w:t>a</w:t>
      </w:r>
      <w:r w:rsidR="00312771" w:rsidRPr="00C2548D">
        <w:rPr>
          <w:rFonts w:eastAsia="Calibri"/>
          <w:color w:val="000000"/>
          <w:lang w:val="fr-FR"/>
        </w:rPr>
        <w:t>it</w:t>
      </w:r>
      <w:r w:rsidRPr="00C2548D">
        <w:rPr>
          <w:rFonts w:eastAsia="Calibri"/>
          <w:color w:val="000000"/>
          <w:lang w:val="fr-FR"/>
        </w:rPr>
        <w:t xml:space="preserve"> été envisagée. </w:t>
      </w:r>
      <w:r w:rsidRPr="00C2548D">
        <w:rPr>
          <w:rFonts w:eastAsia="Calibri"/>
          <w:lang w:val="fr-FR"/>
        </w:rPr>
        <w:t>Les autorités n</w:t>
      </w:r>
      <w:r w:rsidR="00C2548D">
        <w:rPr>
          <w:rFonts w:eastAsia="Calibri"/>
          <w:lang w:val="fr-FR"/>
        </w:rPr>
        <w:t>’</w:t>
      </w:r>
      <w:r w:rsidRPr="00C2548D">
        <w:rPr>
          <w:rFonts w:eastAsia="Calibri"/>
          <w:lang w:val="fr-FR"/>
        </w:rPr>
        <w:t xml:space="preserve">ont </w:t>
      </w:r>
      <w:r w:rsidR="00CC7130" w:rsidRPr="00C2548D">
        <w:rPr>
          <w:rFonts w:eastAsia="Calibri"/>
          <w:lang w:val="fr-FR"/>
        </w:rPr>
        <w:t xml:space="preserve">pas </w:t>
      </w:r>
      <w:r w:rsidR="00A34D5E" w:rsidRPr="00C2548D">
        <w:rPr>
          <w:rFonts w:eastAsia="Calibri"/>
          <w:lang w:val="fr-FR"/>
        </w:rPr>
        <w:t>déployé</w:t>
      </w:r>
      <w:r w:rsidRPr="00C2548D">
        <w:rPr>
          <w:rFonts w:eastAsia="Calibri"/>
          <w:lang w:val="fr-FR"/>
        </w:rPr>
        <w:t xml:space="preserve"> </w:t>
      </w:r>
      <w:r w:rsidR="00CC7130" w:rsidRPr="00C2548D">
        <w:rPr>
          <w:rFonts w:eastAsia="Calibri"/>
          <w:lang w:val="fr-FR"/>
        </w:rPr>
        <w:t>des efforts adéquats</w:t>
      </w:r>
      <w:r w:rsidR="00A34D5E" w:rsidRPr="00C2548D">
        <w:rPr>
          <w:rFonts w:eastAsia="Calibri"/>
          <w:lang w:val="fr-FR"/>
        </w:rPr>
        <w:t xml:space="preserve"> pour</w:t>
      </w:r>
      <w:r w:rsidRPr="00C2548D">
        <w:rPr>
          <w:rFonts w:eastAsia="Calibri"/>
          <w:lang w:val="fr-FR"/>
        </w:rPr>
        <w:t xml:space="preserve"> préserver le lien familial entre le requérant et sa fille et en favoriser le développement. Les autorités judiciaires se sont bornées à prendre en considération </w:t>
      </w:r>
      <w:r w:rsidR="00EA7CA1" w:rsidRPr="00C2548D">
        <w:rPr>
          <w:rFonts w:eastAsia="Calibri"/>
          <w:lang w:val="fr-FR"/>
        </w:rPr>
        <w:t>l</w:t>
      </w:r>
      <w:r w:rsidR="00C2548D">
        <w:rPr>
          <w:rFonts w:eastAsia="Calibri"/>
          <w:lang w:val="fr-FR"/>
        </w:rPr>
        <w:t>’</w:t>
      </w:r>
      <w:r w:rsidR="00EA7CA1" w:rsidRPr="00C2548D">
        <w:rPr>
          <w:rFonts w:eastAsia="Calibri"/>
          <w:lang w:val="fr-FR"/>
        </w:rPr>
        <w:t xml:space="preserve">existence de </w:t>
      </w:r>
      <w:r w:rsidR="00A34D5E" w:rsidRPr="00C2548D">
        <w:rPr>
          <w:rFonts w:eastAsia="Calibri"/>
          <w:lang w:val="fr-FR"/>
        </w:rPr>
        <w:t xml:space="preserve">certaines </w:t>
      </w:r>
      <w:r w:rsidRPr="00C2548D">
        <w:rPr>
          <w:rFonts w:eastAsia="Calibri"/>
          <w:lang w:val="fr-FR"/>
        </w:rPr>
        <w:t xml:space="preserve">difficultés, </w:t>
      </w:r>
      <w:r w:rsidR="00A34D5E" w:rsidRPr="00C2548D">
        <w:rPr>
          <w:rFonts w:eastAsia="Calibri"/>
          <w:lang w:val="fr-FR"/>
        </w:rPr>
        <w:t xml:space="preserve">alors que celles-ci </w:t>
      </w:r>
      <w:r w:rsidRPr="00C2548D">
        <w:rPr>
          <w:rFonts w:eastAsia="Calibri"/>
          <w:lang w:val="fr-FR"/>
        </w:rPr>
        <w:t>auraient</w:t>
      </w:r>
      <w:r w:rsidR="000268D7" w:rsidRPr="00C2548D">
        <w:rPr>
          <w:rFonts w:eastAsia="Calibri"/>
          <w:lang w:val="fr-FR"/>
        </w:rPr>
        <w:t xml:space="preserve"> pu, selon toute vraisemblance, </w:t>
      </w:r>
      <w:r w:rsidRPr="00C2548D">
        <w:rPr>
          <w:rFonts w:eastAsia="Calibri"/>
          <w:lang w:val="fr-FR"/>
        </w:rPr>
        <w:t>être surmontées au moyen d</w:t>
      </w:r>
      <w:r w:rsidR="00C2548D">
        <w:rPr>
          <w:rFonts w:eastAsia="Calibri"/>
          <w:lang w:val="fr-FR"/>
        </w:rPr>
        <w:t>’</w:t>
      </w:r>
      <w:r w:rsidRPr="00C2548D">
        <w:rPr>
          <w:rFonts w:eastAsia="Calibri"/>
          <w:lang w:val="fr-FR"/>
        </w:rPr>
        <w:t xml:space="preserve">une assistance sociale ciblée. Le requérant </w:t>
      </w:r>
      <w:r w:rsidR="00EA7CA1" w:rsidRPr="00C2548D">
        <w:rPr>
          <w:rFonts w:eastAsia="Calibri"/>
          <w:lang w:val="fr-FR"/>
        </w:rPr>
        <w:t>ne s</w:t>
      </w:r>
      <w:r w:rsidR="00C2548D">
        <w:rPr>
          <w:rFonts w:eastAsia="Calibri"/>
          <w:lang w:val="fr-FR"/>
        </w:rPr>
        <w:t>’</w:t>
      </w:r>
      <w:r w:rsidR="00EA7CA1" w:rsidRPr="00C2548D">
        <w:rPr>
          <w:rFonts w:eastAsia="Calibri"/>
          <w:lang w:val="fr-FR"/>
        </w:rPr>
        <w:t>est vu offrir</w:t>
      </w:r>
      <w:r w:rsidRPr="00C2548D">
        <w:rPr>
          <w:rFonts w:eastAsia="Calibri"/>
          <w:lang w:val="fr-FR"/>
        </w:rPr>
        <w:t xml:space="preserve"> aucune chance de renouer des liens avec sa fille</w:t>
      </w:r>
      <w:r w:rsidR="00B92E1D" w:rsidRPr="00C2548D">
        <w:rPr>
          <w:rFonts w:eastAsia="Calibri"/>
          <w:lang w:val="fr-FR"/>
        </w:rPr>
        <w:t> </w:t>
      </w:r>
      <w:r w:rsidRPr="00C2548D">
        <w:rPr>
          <w:rFonts w:eastAsia="Calibri"/>
          <w:lang w:val="fr-FR"/>
        </w:rPr>
        <w:t xml:space="preserve">: en </w:t>
      </w:r>
      <w:r w:rsidR="00EA02C7" w:rsidRPr="00C2548D">
        <w:rPr>
          <w:rFonts w:eastAsia="Calibri"/>
          <w:lang w:val="fr-FR"/>
        </w:rPr>
        <w:t>effet</w:t>
      </w:r>
      <w:r w:rsidRPr="00C2548D">
        <w:rPr>
          <w:rFonts w:eastAsia="Calibri"/>
          <w:lang w:val="fr-FR"/>
        </w:rPr>
        <w:t xml:space="preserve"> aucun expert n</w:t>
      </w:r>
      <w:r w:rsidR="00C2548D">
        <w:rPr>
          <w:rFonts w:eastAsia="Calibri"/>
          <w:lang w:val="fr-FR"/>
        </w:rPr>
        <w:t>’</w:t>
      </w:r>
      <w:r w:rsidRPr="00C2548D">
        <w:rPr>
          <w:rFonts w:eastAsia="Calibri"/>
          <w:lang w:val="fr-FR"/>
        </w:rPr>
        <w:t xml:space="preserve">a été mandaté pour évaluer ses compétences ou son profil psychologique. </w:t>
      </w:r>
      <w:r w:rsidR="00EA02C7" w:rsidRPr="00C2548D">
        <w:rPr>
          <w:rFonts w:eastAsia="Calibri"/>
          <w:lang w:val="fr-FR"/>
        </w:rPr>
        <w:t>De plus, une seule rencontre a été autorisée avec l</w:t>
      </w:r>
      <w:r w:rsidR="00C2548D">
        <w:rPr>
          <w:rFonts w:eastAsia="Calibri"/>
          <w:lang w:val="fr-FR"/>
        </w:rPr>
        <w:t>’</w:t>
      </w:r>
      <w:r w:rsidR="00EA02C7" w:rsidRPr="00C2548D">
        <w:rPr>
          <w:rFonts w:eastAsia="Calibri"/>
          <w:lang w:val="fr-FR"/>
        </w:rPr>
        <w:t>enfant. Aucun parcours de rapprochement ou de thérapie familiale n</w:t>
      </w:r>
      <w:r w:rsidR="00C2548D">
        <w:rPr>
          <w:rFonts w:eastAsia="Calibri"/>
          <w:lang w:val="fr-FR"/>
        </w:rPr>
        <w:t>’</w:t>
      </w:r>
      <w:r w:rsidR="00EA02C7" w:rsidRPr="00C2548D">
        <w:rPr>
          <w:rFonts w:eastAsia="Calibri"/>
          <w:lang w:val="fr-FR"/>
        </w:rPr>
        <w:t xml:space="preserve">a été envisagé. </w:t>
      </w:r>
      <w:r w:rsidRPr="00C2548D">
        <w:rPr>
          <w:rFonts w:eastAsia="Calibri"/>
          <w:lang w:val="fr-FR"/>
        </w:rPr>
        <w:t xml:space="preserve">Au demeurant, aucune explication convaincante pouvant justifier la suppression du lien de filiation </w:t>
      </w:r>
      <w:r w:rsidR="000268D7" w:rsidRPr="00C2548D">
        <w:rPr>
          <w:rFonts w:eastAsia="Calibri"/>
          <w:lang w:val="fr-FR"/>
        </w:rPr>
        <w:t>paternel</w:t>
      </w:r>
      <w:r w:rsidR="0054005F" w:rsidRPr="00C2548D">
        <w:rPr>
          <w:rFonts w:eastAsia="Calibri"/>
          <w:lang w:val="fr-FR"/>
        </w:rPr>
        <w:t>le</w:t>
      </w:r>
      <w:r w:rsidR="000268D7" w:rsidRPr="00C2548D">
        <w:rPr>
          <w:rFonts w:eastAsia="Calibri"/>
          <w:lang w:val="fr-FR"/>
        </w:rPr>
        <w:t xml:space="preserve"> entre le requérant et sa fille</w:t>
      </w:r>
      <w:r w:rsidRPr="00C2548D">
        <w:rPr>
          <w:rFonts w:eastAsia="Calibri"/>
          <w:lang w:val="fr-FR"/>
        </w:rPr>
        <w:t xml:space="preserve"> n</w:t>
      </w:r>
      <w:r w:rsidR="00C2548D">
        <w:rPr>
          <w:rFonts w:eastAsia="Calibri"/>
          <w:lang w:val="fr-FR"/>
        </w:rPr>
        <w:t>’</w:t>
      </w:r>
      <w:r w:rsidRPr="00C2548D">
        <w:rPr>
          <w:rFonts w:eastAsia="Calibri"/>
          <w:lang w:val="fr-FR"/>
        </w:rPr>
        <w:t>a été fournie par le Gouvernement.</w:t>
      </w:r>
    </w:p>
    <w:p w:rsidR="00EE7AA0" w:rsidRPr="00C2548D" w:rsidRDefault="00C2548D" w:rsidP="00EE7AA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84</w:t>
      </w:r>
      <w:r>
        <w:rPr>
          <w:noProof/>
        </w:rPr>
        <w:fldChar w:fldCharType="end"/>
      </w:r>
      <w:r w:rsidR="00EA02C7" w:rsidRPr="00C2548D">
        <w:rPr>
          <w:lang w:val="fr-FR"/>
        </w:rPr>
        <w:t>.  </w:t>
      </w:r>
      <w:r w:rsidR="00EE7AA0" w:rsidRPr="00C2548D">
        <w:rPr>
          <w:lang w:val="fr-FR"/>
        </w:rPr>
        <w:t>Eu égard à ces considérations et nonobstant la marge d</w:t>
      </w:r>
      <w:r>
        <w:rPr>
          <w:lang w:val="fr-FR"/>
        </w:rPr>
        <w:t>’</w:t>
      </w:r>
      <w:r w:rsidR="00EE7AA0" w:rsidRPr="00C2548D">
        <w:rPr>
          <w:lang w:val="fr-FR"/>
        </w:rPr>
        <w:t>appréciation de l</w:t>
      </w:r>
      <w:r>
        <w:rPr>
          <w:lang w:val="fr-FR"/>
        </w:rPr>
        <w:t>’</w:t>
      </w:r>
      <w:r w:rsidR="00EE7AA0" w:rsidRPr="00C2548D">
        <w:rPr>
          <w:lang w:val="fr-FR"/>
        </w:rPr>
        <w:t>État défendeur en la matière, la Cour conclut que les autorités italiennes</w:t>
      </w:r>
      <w:r w:rsidR="00443B6D" w:rsidRPr="00C2548D">
        <w:rPr>
          <w:lang w:val="fr-FR"/>
        </w:rPr>
        <w:t>,</w:t>
      </w:r>
      <w:r w:rsidR="00EE7AA0" w:rsidRPr="00C2548D">
        <w:rPr>
          <w:lang w:val="fr-FR"/>
        </w:rPr>
        <w:t xml:space="preserve"> </w:t>
      </w:r>
      <w:r w:rsidR="00443B6D" w:rsidRPr="00C2548D">
        <w:rPr>
          <w:lang w:val="fr-FR"/>
        </w:rPr>
        <w:t xml:space="preserve">en </w:t>
      </w:r>
      <w:r w:rsidR="00EE7AA0" w:rsidRPr="00C2548D">
        <w:rPr>
          <w:lang w:val="fr-FR"/>
        </w:rPr>
        <w:t>envisage</w:t>
      </w:r>
      <w:r w:rsidR="00443B6D" w:rsidRPr="00C2548D">
        <w:rPr>
          <w:lang w:val="fr-FR"/>
        </w:rPr>
        <w:t>ant</w:t>
      </w:r>
      <w:r w:rsidR="00EE7AA0" w:rsidRPr="00C2548D">
        <w:rPr>
          <w:lang w:val="fr-FR"/>
        </w:rPr>
        <w:t xml:space="preserve"> </w:t>
      </w:r>
      <w:r w:rsidR="005273B8" w:rsidRPr="00C2548D">
        <w:rPr>
          <w:lang w:val="fr-FR"/>
        </w:rPr>
        <w:t>qu</w:t>
      </w:r>
      <w:r w:rsidR="00CC7130" w:rsidRPr="00C2548D">
        <w:rPr>
          <w:lang w:val="fr-FR"/>
        </w:rPr>
        <w:t>e</w:t>
      </w:r>
      <w:r w:rsidR="005273B8" w:rsidRPr="00C2548D">
        <w:rPr>
          <w:lang w:val="fr-FR"/>
        </w:rPr>
        <w:t xml:space="preserve"> </w:t>
      </w:r>
      <w:r w:rsidR="00EE7AA0" w:rsidRPr="00C2548D">
        <w:rPr>
          <w:lang w:val="fr-FR"/>
        </w:rPr>
        <w:t>la solution d</w:t>
      </w:r>
      <w:r>
        <w:rPr>
          <w:lang w:val="fr-FR"/>
        </w:rPr>
        <w:t>’</w:t>
      </w:r>
      <w:r w:rsidR="00EE7AA0" w:rsidRPr="00C2548D">
        <w:rPr>
          <w:lang w:val="fr-FR"/>
        </w:rPr>
        <w:t>une rupture du lien familial</w:t>
      </w:r>
      <w:r w:rsidR="00443B6D" w:rsidRPr="00C2548D">
        <w:rPr>
          <w:lang w:val="fr-FR"/>
        </w:rPr>
        <w:t>, n</w:t>
      </w:r>
      <w:r>
        <w:rPr>
          <w:lang w:val="fr-FR"/>
        </w:rPr>
        <w:t>’</w:t>
      </w:r>
      <w:r w:rsidR="00443B6D" w:rsidRPr="00C2548D">
        <w:rPr>
          <w:lang w:val="fr-FR"/>
        </w:rPr>
        <w:t xml:space="preserve">ont pas </w:t>
      </w:r>
      <w:r w:rsidR="005273B8" w:rsidRPr="00C2548D">
        <w:rPr>
          <w:lang w:val="fr-FR"/>
        </w:rPr>
        <w:t>déploy</w:t>
      </w:r>
      <w:r w:rsidR="00443B6D" w:rsidRPr="00C2548D">
        <w:rPr>
          <w:lang w:val="fr-FR"/>
        </w:rPr>
        <w:t>é</w:t>
      </w:r>
      <w:r w:rsidR="005273B8" w:rsidRPr="00C2548D">
        <w:rPr>
          <w:lang w:val="fr-FR"/>
        </w:rPr>
        <w:t xml:space="preserve"> </w:t>
      </w:r>
      <w:r w:rsidR="00EE7AA0" w:rsidRPr="00C2548D">
        <w:rPr>
          <w:lang w:val="fr-FR"/>
        </w:rPr>
        <w:t xml:space="preserve">des efforts adéquats et suffisants pour faire respecter le droit </w:t>
      </w:r>
      <w:r w:rsidR="0099454D" w:rsidRPr="00C2548D">
        <w:rPr>
          <w:lang w:val="fr-FR"/>
        </w:rPr>
        <w:t>du requérant</w:t>
      </w:r>
      <w:r w:rsidR="00EE7AA0" w:rsidRPr="00C2548D">
        <w:rPr>
          <w:lang w:val="fr-FR"/>
        </w:rPr>
        <w:t xml:space="preserve"> à vivre avec son enfant, </w:t>
      </w:r>
      <w:r w:rsidR="005273B8" w:rsidRPr="00C2548D">
        <w:rPr>
          <w:lang w:val="fr-FR"/>
        </w:rPr>
        <w:t>élément de</w:t>
      </w:r>
      <w:r w:rsidR="00EE7AA0" w:rsidRPr="00C2548D">
        <w:rPr>
          <w:lang w:val="fr-FR"/>
        </w:rPr>
        <w:t xml:space="preserve"> son droit au respect de sa vie familiale, garanti par l</w:t>
      </w:r>
      <w:r>
        <w:rPr>
          <w:lang w:val="fr-FR"/>
        </w:rPr>
        <w:t>’</w:t>
      </w:r>
      <w:r w:rsidR="00EE7AA0" w:rsidRPr="00C2548D">
        <w:rPr>
          <w:lang w:val="fr-FR"/>
        </w:rPr>
        <w:t>article 8</w:t>
      </w:r>
      <w:bookmarkStart w:id="13" w:name="violation8"/>
      <w:bookmarkEnd w:id="13"/>
      <w:r w:rsidR="00EE7AA0" w:rsidRPr="00C2548D">
        <w:rPr>
          <w:lang w:val="fr-FR"/>
        </w:rPr>
        <w:t>. Il y a donc eu violation de cette disposition.</w:t>
      </w:r>
    </w:p>
    <w:p w:rsidR="00C25489" w:rsidRPr="00C2548D" w:rsidRDefault="00C2548D" w:rsidP="00C2548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85</w:t>
      </w:r>
      <w:r>
        <w:rPr>
          <w:noProof/>
        </w:rPr>
        <w:fldChar w:fldCharType="end"/>
      </w:r>
      <w:r w:rsidR="0095736B" w:rsidRPr="00C2548D">
        <w:rPr>
          <w:lang w:val="fr-FR"/>
        </w:rPr>
        <w:t>.  </w:t>
      </w:r>
      <w:r w:rsidR="00C25489" w:rsidRPr="00C2548D">
        <w:rPr>
          <w:lang w:val="fr-FR"/>
        </w:rPr>
        <w:t>Compte tenu de ce que l</w:t>
      </w:r>
      <w:r>
        <w:rPr>
          <w:lang w:val="fr-FR"/>
        </w:rPr>
        <w:t>’</w:t>
      </w:r>
      <w:r w:rsidR="00C25489" w:rsidRPr="00C2548D">
        <w:rPr>
          <w:lang w:val="fr-FR"/>
        </w:rPr>
        <w:t xml:space="preserve">enfant a </w:t>
      </w:r>
      <w:r w:rsidR="0095736B" w:rsidRPr="00C2548D">
        <w:rPr>
          <w:lang w:val="fr-FR"/>
        </w:rPr>
        <w:t>désormais</w:t>
      </w:r>
      <w:r w:rsidR="00C25489" w:rsidRPr="00C2548D">
        <w:rPr>
          <w:lang w:val="fr-FR"/>
        </w:rPr>
        <w:t xml:space="preserve"> été </w:t>
      </w:r>
      <w:r w:rsidR="0095736B" w:rsidRPr="00C2548D">
        <w:rPr>
          <w:lang w:val="fr-FR"/>
        </w:rPr>
        <w:t>adoptée,</w:t>
      </w:r>
      <w:r w:rsidR="00C25489" w:rsidRPr="00C2548D">
        <w:rPr>
          <w:lang w:val="fr-FR"/>
        </w:rPr>
        <w:t xml:space="preserve"> </w:t>
      </w:r>
      <w:r w:rsidR="00D97288" w:rsidRPr="00C2548D">
        <w:rPr>
          <w:lang w:val="fr-FR"/>
        </w:rPr>
        <w:t xml:space="preserve">la Cour précise que </w:t>
      </w:r>
      <w:r w:rsidR="00CC7130" w:rsidRPr="00C2548D">
        <w:rPr>
          <w:lang w:val="fr-FR"/>
        </w:rPr>
        <w:t>c</w:t>
      </w:r>
      <w:r w:rsidR="00C25489" w:rsidRPr="00C2548D">
        <w:rPr>
          <w:lang w:val="fr-FR"/>
        </w:rPr>
        <w:t>e constat de violation ne saurait être compris comme obligeant l</w:t>
      </w:r>
      <w:r>
        <w:rPr>
          <w:lang w:val="fr-FR"/>
        </w:rPr>
        <w:t>’</w:t>
      </w:r>
      <w:r w:rsidR="00C25489" w:rsidRPr="00C2548D">
        <w:rPr>
          <w:lang w:val="fr-FR"/>
        </w:rPr>
        <w:t xml:space="preserve">État à remettre </w:t>
      </w:r>
      <w:r w:rsidR="00A34C81" w:rsidRPr="00C2548D">
        <w:rPr>
          <w:lang w:val="fr-FR"/>
        </w:rPr>
        <w:t xml:space="preserve">la </w:t>
      </w:r>
      <w:r w:rsidR="00C25489" w:rsidRPr="00C2548D">
        <w:rPr>
          <w:lang w:val="fr-FR"/>
        </w:rPr>
        <w:t>mineur</w:t>
      </w:r>
      <w:r w:rsidR="00A34C81" w:rsidRPr="00C2548D">
        <w:rPr>
          <w:lang w:val="fr-FR"/>
        </w:rPr>
        <w:t>e</w:t>
      </w:r>
      <w:r w:rsidR="00C25489" w:rsidRPr="00C2548D">
        <w:rPr>
          <w:lang w:val="fr-FR"/>
        </w:rPr>
        <w:t xml:space="preserve"> à l</w:t>
      </w:r>
      <w:r>
        <w:rPr>
          <w:lang w:val="fr-FR"/>
        </w:rPr>
        <w:t>’</w:t>
      </w:r>
      <w:r w:rsidR="00C25489" w:rsidRPr="00C2548D">
        <w:rPr>
          <w:lang w:val="fr-FR"/>
        </w:rPr>
        <w:t>intéressé.</w:t>
      </w:r>
    </w:p>
    <w:p w:rsidR="00E77CB3" w:rsidRPr="005E37C6" w:rsidRDefault="00057D3E" w:rsidP="00C63990">
      <w:pPr>
        <w:pStyle w:val="ECHRHeading1"/>
      </w:pPr>
      <w:r>
        <w:t>II</w:t>
      </w:r>
      <w:r w:rsidR="00E77CB3" w:rsidRPr="005E37C6">
        <w:t>.  SUR L</w:t>
      </w:r>
      <w:r w:rsidR="00C2548D">
        <w:t>’</w:t>
      </w:r>
      <w:r w:rsidR="00E77CB3" w:rsidRPr="005E37C6">
        <w:t>APPLICATION DE L</w:t>
      </w:r>
      <w:r w:rsidR="00C2548D">
        <w:t>’</w:t>
      </w:r>
      <w:r w:rsidR="00E77CB3" w:rsidRPr="005E37C6">
        <w:t>ARTICLE 41 DE LA CONVENTION</w:t>
      </w:r>
    </w:p>
    <w:p w:rsidR="00E77CB3"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86</w:t>
      </w:r>
      <w:r>
        <w:rPr>
          <w:noProof/>
        </w:rPr>
        <w:fldChar w:fldCharType="end"/>
      </w:r>
      <w:r w:rsidR="00E77CB3" w:rsidRPr="00C2548D">
        <w:rPr>
          <w:lang w:val="fr-FR"/>
        </w:rPr>
        <w:t>.  Aux termes de l</w:t>
      </w:r>
      <w:r>
        <w:rPr>
          <w:lang w:val="fr-FR"/>
        </w:rPr>
        <w:t>’</w:t>
      </w:r>
      <w:r w:rsidR="00E77CB3" w:rsidRPr="00C2548D">
        <w:rPr>
          <w:lang w:val="fr-FR"/>
        </w:rPr>
        <w:t>article 41 de la Convention,</w:t>
      </w:r>
    </w:p>
    <w:p w:rsidR="00E77CB3" w:rsidRPr="00C2548D" w:rsidRDefault="00E77CB3" w:rsidP="00E77CB3">
      <w:pPr>
        <w:pStyle w:val="ECHRParaQuote"/>
        <w:keepNext/>
        <w:keepLines/>
        <w:rPr>
          <w:lang w:val="fr-FR"/>
        </w:rPr>
      </w:pPr>
      <w:r w:rsidRPr="00C2548D">
        <w:rPr>
          <w:lang w:val="fr-FR"/>
        </w:rPr>
        <w:t>« Si la Cour déclare qu</w:t>
      </w:r>
      <w:r w:rsidR="00C2548D">
        <w:rPr>
          <w:lang w:val="fr-FR"/>
        </w:rPr>
        <w:t>’</w:t>
      </w:r>
      <w:r w:rsidRPr="00C2548D">
        <w:rPr>
          <w:lang w:val="fr-FR"/>
        </w:rPr>
        <w:t>il y a eu violation de la Convention ou de ses Protocoles, et si le droit interne de la Haute Partie contractante ne permet d</w:t>
      </w:r>
      <w:r w:rsidR="00C2548D">
        <w:rPr>
          <w:lang w:val="fr-FR"/>
        </w:rPr>
        <w:t>’</w:t>
      </w:r>
      <w:r w:rsidRPr="00C2548D">
        <w:rPr>
          <w:lang w:val="fr-FR"/>
        </w:rPr>
        <w:t>effacer qu</w:t>
      </w:r>
      <w:r w:rsidR="00C2548D">
        <w:rPr>
          <w:lang w:val="fr-FR"/>
        </w:rPr>
        <w:t>’</w:t>
      </w:r>
      <w:r w:rsidRPr="00C2548D">
        <w:rPr>
          <w:lang w:val="fr-FR"/>
        </w:rPr>
        <w:t>imparfaitement les conséquences de cette violation, la Cour accorde à la partie lésée, s</w:t>
      </w:r>
      <w:r w:rsidR="00C2548D">
        <w:rPr>
          <w:lang w:val="fr-FR"/>
        </w:rPr>
        <w:t>’</w:t>
      </w:r>
      <w:r w:rsidRPr="00C2548D">
        <w:rPr>
          <w:lang w:val="fr-FR"/>
        </w:rPr>
        <w:t>il y a lieu, une satisfaction équitable. »</w:t>
      </w:r>
    </w:p>
    <w:p w:rsidR="00CD5A55" w:rsidRPr="00057D3E" w:rsidRDefault="00CD5A55" w:rsidP="00CD5A55">
      <w:pPr>
        <w:pStyle w:val="ECHRHeading2"/>
      </w:pPr>
      <w:r>
        <w:t>A</w:t>
      </w:r>
      <w:r w:rsidRPr="00057D3E">
        <w:t>.  </w:t>
      </w:r>
      <w:r>
        <w:t>Dommage</w:t>
      </w:r>
    </w:p>
    <w:p w:rsidR="00C25489" w:rsidRPr="00C2548D" w:rsidRDefault="00C2548D" w:rsidP="00C2548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87</w:t>
      </w:r>
      <w:r>
        <w:rPr>
          <w:noProof/>
        </w:rPr>
        <w:fldChar w:fldCharType="end"/>
      </w:r>
      <w:r w:rsidR="00C25489" w:rsidRPr="00C2548D">
        <w:rPr>
          <w:lang w:val="fr-FR"/>
        </w:rPr>
        <w:t>.  Le requérant réclame 500 000 euros (EUR) au titre du préjudice qu</w:t>
      </w:r>
      <w:r>
        <w:rPr>
          <w:lang w:val="fr-FR"/>
        </w:rPr>
        <w:t>’</w:t>
      </w:r>
      <w:r w:rsidR="00C25489" w:rsidRPr="00C2548D">
        <w:rPr>
          <w:lang w:val="fr-FR"/>
        </w:rPr>
        <w:t xml:space="preserve">il aurait subi </w:t>
      </w:r>
      <w:r w:rsidR="00D97288" w:rsidRPr="00C2548D">
        <w:rPr>
          <w:lang w:val="fr-FR"/>
        </w:rPr>
        <w:t xml:space="preserve">du fait de </w:t>
      </w:r>
      <w:r w:rsidR="00C25489" w:rsidRPr="00C2548D">
        <w:rPr>
          <w:lang w:val="fr-FR"/>
        </w:rPr>
        <w:t>la violation de l</w:t>
      </w:r>
      <w:r>
        <w:rPr>
          <w:lang w:val="fr-FR"/>
        </w:rPr>
        <w:t>’</w:t>
      </w:r>
      <w:r w:rsidR="00C25489" w:rsidRPr="00C2548D">
        <w:rPr>
          <w:lang w:val="fr-FR"/>
        </w:rPr>
        <w:t>article 8.</w:t>
      </w:r>
    </w:p>
    <w:p w:rsidR="00C25489" w:rsidRPr="00C2548D" w:rsidRDefault="00C2548D" w:rsidP="00C2548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88</w:t>
      </w:r>
      <w:r>
        <w:rPr>
          <w:noProof/>
        </w:rPr>
        <w:fldChar w:fldCharType="end"/>
      </w:r>
      <w:r w:rsidR="00C25489" w:rsidRPr="00C2548D">
        <w:rPr>
          <w:lang w:val="fr-FR"/>
        </w:rPr>
        <w:t>.  Le Gouvernement estime cette somme excessive.</w:t>
      </w:r>
    </w:p>
    <w:p w:rsidR="00C25489" w:rsidRPr="00C2548D" w:rsidRDefault="00C2548D" w:rsidP="00C2548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89</w:t>
      </w:r>
      <w:r>
        <w:rPr>
          <w:noProof/>
        </w:rPr>
        <w:fldChar w:fldCharType="end"/>
      </w:r>
      <w:r w:rsidR="00C25489" w:rsidRPr="00C2548D">
        <w:rPr>
          <w:lang w:val="fr-FR"/>
        </w:rPr>
        <w:t>. </w:t>
      </w:r>
      <w:r w:rsidR="004C11C5" w:rsidRPr="00C2548D">
        <w:rPr>
          <w:lang w:val="fr-FR"/>
        </w:rPr>
        <w:t> </w:t>
      </w:r>
      <w:r w:rsidR="00C25489" w:rsidRPr="00C2548D">
        <w:rPr>
          <w:lang w:val="fr-FR"/>
        </w:rPr>
        <w:t>En tenant compte des circonstances de l</w:t>
      </w:r>
      <w:r>
        <w:rPr>
          <w:lang w:val="fr-FR"/>
        </w:rPr>
        <w:t>’</w:t>
      </w:r>
      <w:r w:rsidR="00C25489" w:rsidRPr="00C2548D">
        <w:rPr>
          <w:lang w:val="fr-FR"/>
        </w:rPr>
        <w:t xml:space="preserve">espèce et </w:t>
      </w:r>
      <w:r w:rsidR="00EB7A87" w:rsidRPr="00C2548D">
        <w:rPr>
          <w:lang w:val="fr-FR"/>
        </w:rPr>
        <w:t xml:space="preserve">de son </w:t>
      </w:r>
      <w:r w:rsidR="00C25489" w:rsidRPr="00C2548D">
        <w:rPr>
          <w:lang w:val="fr-FR"/>
        </w:rPr>
        <w:t>constat selon lequel les autorités italiennes n</w:t>
      </w:r>
      <w:r>
        <w:rPr>
          <w:lang w:val="fr-FR"/>
        </w:rPr>
        <w:t>’</w:t>
      </w:r>
      <w:r w:rsidR="00C25489" w:rsidRPr="00C2548D">
        <w:rPr>
          <w:lang w:val="fr-FR"/>
        </w:rPr>
        <w:t xml:space="preserve">ont pas déployé des efforts adéquats et suffisants pour faire respecter le droit du requérant à vivre avec son enfant, </w:t>
      </w:r>
      <w:r w:rsidR="005102F3" w:rsidRPr="00C2548D">
        <w:rPr>
          <w:lang w:val="fr-FR"/>
        </w:rPr>
        <w:t>méconnaissant ainsi</w:t>
      </w:r>
      <w:r w:rsidR="00C25489" w:rsidRPr="00C2548D">
        <w:rPr>
          <w:lang w:val="fr-FR"/>
        </w:rPr>
        <w:t xml:space="preserve"> l</w:t>
      </w:r>
      <w:r>
        <w:rPr>
          <w:lang w:val="fr-FR"/>
        </w:rPr>
        <w:t>’</w:t>
      </w:r>
      <w:r w:rsidR="00C25489" w:rsidRPr="00C2548D">
        <w:rPr>
          <w:lang w:val="fr-FR"/>
        </w:rPr>
        <w:t>article 8</w:t>
      </w:r>
      <w:r w:rsidR="00EB7A87" w:rsidRPr="00C2548D">
        <w:rPr>
          <w:lang w:val="fr-FR"/>
        </w:rPr>
        <w:t xml:space="preserve"> de la Convention</w:t>
      </w:r>
      <w:r w:rsidR="00C25489" w:rsidRPr="00C2548D">
        <w:rPr>
          <w:lang w:val="fr-FR"/>
        </w:rPr>
        <w:t>, la Cour considère que l</w:t>
      </w:r>
      <w:r>
        <w:rPr>
          <w:lang w:val="fr-FR"/>
        </w:rPr>
        <w:t>’</w:t>
      </w:r>
      <w:r w:rsidR="00C25489" w:rsidRPr="00C2548D">
        <w:rPr>
          <w:lang w:val="fr-FR"/>
        </w:rPr>
        <w:t>intéressé a subi un préjudice moral qui ne saurait être réparé par le seul constat de violation. Elle estime, toutefois, que la somme réclamée est excessive. Eu égard à l</w:t>
      </w:r>
      <w:r>
        <w:rPr>
          <w:lang w:val="fr-FR"/>
        </w:rPr>
        <w:t>’</w:t>
      </w:r>
      <w:r w:rsidR="00C25489" w:rsidRPr="00C2548D">
        <w:rPr>
          <w:lang w:val="fr-FR"/>
        </w:rPr>
        <w:t>ensemble des éléments dont elle dispose et statuant en équité, comme le veut l</w:t>
      </w:r>
      <w:r>
        <w:rPr>
          <w:lang w:val="fr-FR"/>
        </w:rPr>
        <w:t>’</w:t>
      </w:r>
      <w:r w:rsidR="00C25489" w:rsidRPr="00C2548D">
        <w:rPr>
          <w:lang w:val="fr-FR"/>
        </w:rPr>
        <w:t xml:space="preserve">article 41 de la Convention, </w:t>
      </w:r>
      <w:r w:rsidR="005102F3" w:rsidRPr="00C2548D">
        <w:rPr>
          <w:lang w:val="fr-FR"/>
        </w:rPr>
        <w:t>elle estime qu</w:t>
      </w:r>
      <w:r>
        <w:rPr>
          <w:lang w:val="fr-FR"/>
        </w:rPr>
        <w:t>’</w:t>
      </w:r>
      <w:r w:rsidR="005102F3" w:rsidRPr="00C2548D">
        <w:rPr>
          <w:lang w:val="fr-FR"/>
        </w:rPr>
        <w:t xml:space="preserve">il convient </w:t>
      </w:r>
      <w:r w:rsidR="00AC356A" w:rsidRPr="00C2548D">
        <w:rPr>
          <w:lang w:val="fr-FR"/>
        </w:rPr>
        <w:t xml:space="preserve">de fixer la somme à </w:t>
      </w:r>
      <w:r w:rsidR="00C25489" w:rsidRPr="00C2548D">
        <w:rPr>
          <w:lang w:val="fr-FR"/>
        </w:rPr>
        <w:t>alloue</w:t>
      </w:r>
      <w:r w:rsidR="005102F3" w:rsidRPr="00C2548D">
        <w:rPr>
          <w:lang w:val="fr-FR"/>
        </w:rPr>
        <w:t>r</w:t>
      </w:r>
      <w:r w:rsidR="00C25489" w:rsidRPr="00C2548D">
        <w:rPr>
          <w:lang w:val="fr-FR"/>
        </w:rPr>
        <w:t xml:space="preserve"> à l</w:t>
      </w:r>
      <w:r>
        <w:rPr>
          <w:lang w:val="fr-FR"/>
        </w:rPr>
        <w:t>’</w:t>
      </w:r>
      <w:r w:rsidR="00C25489" w:rsidRPr="00C2548D">
        <w:rPr>
          <w:lang w:val="fr-FR"/>
        </w:rPr>
        <w:t xml:space="preserve">intéressé </w:t>
      </w:r>
      <w:r w:rsidR="005102F3" w:rsidRPr="00C2548D">
        <w:rPr>
          <w:lang w:val="fr-FR"/>
        </w:rPr>
        <w:t xml:space="preserve">pour ledit préjudice moral </w:t>
      </w:r>
      <w:r w:rsidR="00AC356A" w:rsidRPr="00C2548D">
        <w:rPr>
          <w:lang w:val="fr-FR"/>
        </w:rPr>
        <w:t>à</w:t>
      </w:r>
      <w:r w:rsidR="005102F3" w:rsidRPr="00C2548D">
        <w:rPr>
          <w:lang w:val="fr-FR"/>
        </w:rPr>
        <w:t xml:space="preserve"> </w:t>
      </w:r>
      <w:r w:rsidR="003C0D0C" w:rsidRPr="00C2548D">
        <w:rPr>
          <w:lang w:val="fr-FR"/>
        </w:rPr>
        <w:t>32</w:t>
      </w:r>
      <w:r w:rsidR="00C25489" w:rsidRPr="00C2548D">
        <w:rPr>
          <w:lang w:val="fr-FR"/>
        </w:rPr>
        <w:t> 000</w:t>
      </w:r>
      <w:r w:rsidR="00B92E1D" w:rsidRPr="00C2548D">
        <w:rPr>
          <w:lang w:val="fr-FR"/>
        </w:rPr>
        <w:t> </w:t>
      </w:r>
      <w:r w:rsidR="00C25489" w:rsidRPr="00C2548D">
        <w:rPr>
          <w:lang w:val="fr-FR"/>
        </w:rPr>
        <w:t>EUR.</w:t>
      </w:r>
    </w:p>
    <w:p w:rsidR="00C25489" w:rsidRPr="00057D3E" w:rsidRDefault="00C25489" w:rsidP="00C25489">
      <w:pPr>
        <w:pStyle w:val="ECHRHeading2"/>
      </w:pPr>
      <w:r w:rsidRPr="00057D3E">
        <w:t>B.  Frais et dépens</w:t>
      </w:r>
    </w:p>
    <w:p w:rsidR="00C25489" w:rsidRPr="00C2548D" w:rsidRDefault="00C2548D" w:rsidP="00C2548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90</w:t>
      </w:r>
      <w:r>
        <w:rPr>
          <w:noProof/>
        </w:rPr>
        <w:fldChar w:fldCharType="end"/>
      </w:r>
      <w:r w:rsidR="00C25489" w:rsidRPr="00C2548D">
        <w:rPr>
          <w:lang w:val="fr-FR"/>
        </w:rPr>
        <w:t>.  Justificatifs à l</w:t>
      </w:r>
      <w:r>
        <w:rPr>
          <w:lang w:val="fr-FR"/>
        </w:rPr>
        <w:t>’</w:t>
      </w:r>
      <w:r w:rsidR="00C25489" w:rsidRPr="00C2548D">
        <w:rPr>
          <w:lang w:val="fr-FR"/>
        </w:rPr>
        <w:t xml:space="preserve">appui, le </w:t>
      </w:r>
      <w:r w:rsidR="00057D3E" w:rsidRPr="00C2548D">
        <w:rPr>
          <w:lang w:val="fr-FR"/>
        </w:rPr>
        <w:t xml:space="preserve">requérant </w:t>
      </w:r>
      <w:r w:rsidR="00C25489" w:rsidRPr="00C2548D">
        <w:rPr>
          <w:lang w:val="fr-FR"/>
        </w:rPr>
        <w:t>demande également 29 335,61</w:t>
      </w:r>
      <w:r w:rsidR="00B92E1D" w:rsidRPr="00C2548D">
        <w:rPr>
          <w:lang w:val="fr-FR"/>
        </w:rPr>
        <w:t> </w:t>
      </w:r>
      <w:r w:rsidR="00C25489" w:rsidRPr="00C2548D">
        <w:rPr>
          <w:lang w:val="fr-FR"/>
        </w:rPr>
        <w:t>EUR pour les frais et dépens engagés devant la Cour.</w:t>
      </w:r>
    </w:p>
    <w:p w:rsidR="00C25489" w:rsidRPr="00C2548D" w:rsidRDefault="00C2548D" w:rsidP="00C2548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91</w:t>
      </w:r>
      <w:r>
        <w:rPr>
          <w:noProof/>
        </w:rPr>
        <w:fldChar w:fldCharType="end"/>
      </w:r>
      <w:r w:rsidR="00C25489" w:rsidRPr="00C2548D">
        <w:rPr>
          <w:lang w:val="fr-FR"/>
        </w:rPr>
        <w:t xml:space="preserve">.  Le Gouvernement </w:t>
      </w:r>
      <w:r w:rsidR="00AC356A" w:rsidRPr="00C2548D">
        <w:rPr>
          <w:lang w:val="fr-FR"/>
        </w:rPr>
        <w:t>conteste ce montant</w:t>
      </w:r>
      <w:r w:rsidR="00C25489" w:rsidRPr="00C2548D">
        <w:rPr>
          <w:lang w:val="fr-FR"/>
        </w:rPr>
        <w:t>.</w:t>
      </w:r>
    </w:p>
    <w:p w:rsidR="00C25489" w:rsidRPr="00C2548D" w:rsidRDefault="00C2548D" w:rsidP="00C25489">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92</w:t>
      </w:r>
      <w:r>
        <w:rPr>
          <w:noProof/>
        </w:rPr>
        <w:fldChar w:fldCharType="end"/>
      </w:r>
      <w:r w:rsidR="00D927A0" w:rsidRPr="00C2548D">
        <w:rPr>
          <w:lang w:val="fr-FR"/>
        </w:rPr>
        <w:t>.  </w:t>
      </w:r>
      <w:r w:rsidR="00057D3E" w:rsidRPr="00C2548D">
        <w:rPr>
          <w:lang w:val="fr-FR"/>
        </w:rPr>
        <w:t>Selon la jurisprudence de la Cour, un requérant ne peut obtenir le remboursement de ses frais et dépens que dans la mesure où se trouvent établis leur réalité, leur nécessité et le caractère raisonnable de leur taux. En l</w:t>
      </w:r>
      <w:r>
        <w:rPr>
          <w:lang w:val="fr-FR"/>
        </w:rPr>
        <w:t>’</w:t>
      </w:r>
      <w:r w:rsidR="00057D3E" w:rsidRPr="00C2548D">
        <w:rPr>
          <w:lang w:val="fr-FR"/>
        </w:rPr>
        <w:t>espèce et compte tenu des documents en sa possession et de sa jurisprudence, la Cour estime raisonnable la somme de</w:t>
      </w:r>
      <w:r w:rsidR="00E954C6" w:rsidRPr="00C2548D">
        <w:rPr>
          <w:lang w:val="fr-FR"/>
        </w:rPr>
        <w:t xml:space="preserve"> 5</w:t>
      </w:r>
      <w:r w:rsidR="00057D3E" w:rsidRPr="00C2548D">
        <w:rPr>
          <w:lang w:val="fr-FR"/>
        </w:rPr>
        <w:t> 000</w:t>
      </w:r>
      <w:r w:rsidR="00B92E1D" w:rsidRPr="00C2548D">
        <w:rPr>
          <w:lang w:val="fr-FR"/>
        </w:rPr>
        <w:t> </w:t>
      </w:r>
      <w:r w:rsidR="00057D3E" w:rsidRPr="00C2548D">
        <w:rPr>
          <w:lang w:val="fr-FR"/>
        </w:rPr>
        <w:t>EUR tous frais confondus et l</w:t>
      </w:r>
      <w:r>
        <w:rPr>
          <w:lang w:val="fr-FR"/>
        </w:rPr>
        <w:t>’</w:t>
      </w:r>
      <w:r w:rsidR="00057D3E" w:rsidRPr="00C2548D">
        <w:rPr>
          <w:lang w:val="fr-FR"/>
        </w:rPr>
        <w:t>accorde au requérant.</w:t>
      </w:r>
    </w:p>
    <w:p w:rsidR="00E77CB3" w:rsidRPr="005E37C6" w:rsidRDefault="00E77CB3" w:rsidP="00E77CB3">
      <w:pPr>
        <w:pStyle w:val="ECHRHeading2"/>
        <w:outlineLvl w:val="0"/>
      </w:pPr>
      <w:r w:rsidRPr="005E37C6">
        <w:t>C.  Intérêts moratoires</w:t>
      </w:r>
    </w:p>
    <w:p w:rsidR="00E77CB3" w:rsidRPr="00C2548D" w:rsidRDefault="00C2548D" w:rsidP="00C63990">
      <w:pPr>
        <w:pStyle w:val="ECHRPara"/>
        <w:rPr>
          <w:lang w:val="fr-FR"/>
        </w:rPr>
      </w:pPr>
      <w:r>
        <w:fldChar w:fldCharType="begin"/>
      </w:r>
      <w:r w:rsidRPr="00C2548D">
        <w:rPr>
          <w:lang w:val="fr-FR"/>
        </w:rPr>
        <w:instrText xml:space="preserve"> SEQ level0 \*arabic </w:instrText>
      </w:r>
      <w:r>
        <w:fldChar w:fldCharType="separate"/>
      </w:r>
      <w:r w:rsidR="00205039" w:rsidRPr="00C2548D">
        <w:rPr>
          <w:noProof/>
          <w:lang w:val="fr-FR"/>
        </w:rPr>
        <w:t>93</w:t>
      </w:r>
      <w:r>
        <w:rPr>
          <w:noProof/>
        </w:rPr>
        <w:fldChar w:fldCharType="end"/>
      </w:r>
      <w:r w:rsidR="00E77CB3" w:rsidRPr="00C2548D">
        <w:rPr>
          <w:lang w:val="fr-FR"/>
        </w:rPr>
        <w:t>.  La Cour juge approprié de calquer le taux des intérêts moratoires sur le taux d</w:t>
      </w:r>
      <w:r>
        <w:rPr>
          <w:lang w:val="fr-FR"/>
        </w:rPr>
        <w:t>’</w:t>
      </w:r>
      <w:r w:rsidR="00E77CB3" w:rsidRPr="00C2548D">
        <w:rPr>
          <w:lang w:val="fr-FR"/>
        </w:rPr>
        <w:t>intérêt de la facilité de prêt marginal de la Banque centrale européenne majoré de trois points de pourcentage.</w:t>
      </w:r>
    </w:p>
    <w:p w:rsidR="00E77CB3" w:rsidRPr="00C2548D" w:rsidRDefault="00E77CB3" w:rsidP="00E77CB3">
      <w:pPr>
        <w:pStyle w:val="ECHRTitle1"/>
        <w:rPr>
          <w:lang w:val="fr-FR"/>
        </w:rPr>
      </w:pPr>
      <w:r w:rsidRPr="00C2548D">
        <w:rPr>
          <w:lang w:val="fr-FR"/>
        </w:rPr>
        <w:t>PAR CES MOTIFS, LA COUR</w:t>
      </w:r>
      <w:r w:rsidR="00D67316" w:rsidRPr="00C2548D">
        <w:rPr>
          <w:lang w:val="fr-FR"/>
        </w:rPr>
        <w:t>, À L</w:t>
      </w:r>
      <w:r w:rsidR="00C2548D">
        <w:rPr>
          <w:lang w:val="fr-FR"/>
        </w:rPr>
        <w:t>’</w:t>
      </w:r>
      <w:r w:rsidR="00D67316" w:rsidRPr="00C2548D">
        <w:rPr>
          <w:lang w:val="fr-FR"/>
        </w:rPr>
        <w:t>UNANIMITÉ,</w:t>
      </w:r>
    </w:p>
    <w:p w:rsidR="00686B40" w:rsidRPr="00686B40" w:rsidRDefault="00686B40" w:rsidP="00686B40">
      <w:pPr>
        <w:pStyle w:val="JuList"/>
      </w:pPr>
      <w:r w:rsidRPr="00686B40">
        <w:t>1.  </w:t>
      </w:r>
      <w:r w:rsidRPr="00686B40">
        <w:rPr>
          <w:i/>
        </w:rPr>
        <w:t>Déclare</w:t>
      </w:r>
      <w:r w:rsidRPr="00686B40">
        <w:t xml:space="preserve"> la requête recevable ;</w:t>
      </w:r>
    </w:p>
    <w:p w:rsidR="00686B40" w:rsidRPr="00686B40" w:rsidRDefault="00686B40" w:rsidP="00686B40">
      <w:pPr>
        <w:pStyle w:val="JuList"/>
      </w:pPr>
    </w:p>
    <w:p w:rsidR="00686B40" w:rsidRPr="00686B40" w:rsidRDefault="00686B40" w:rsidP="00686B40">
      <w:pPr>
        <w:pStyle w:val="JuList"/>
      </w:pPr>
      <w:r w:rsidRPr="00686B40">
        <w:t>2.  </w:t>
      </w:r>
      <w:r w:rsidRPr="00686B40">
        <w:rPr>
          <w:i/>
        </w:rPr>
        <w:t>Dit</w:t>
      </w:r>
      <w:r w:rsidRPr="00686B40">
        <w:t xml:space="preserve"> qu</w:t>
      </w:r>
      <w:r w:rsidR="00C2548D">
        <w:t>’</w:t>
      </w:r>
      <w:r w:rsidRPr="00686B40">
        <w:t>il y a eu violation de l</w:t>
      </w:r>
      <w:r w:rsidR="00C2548D">
        <w:t>’</w:t>
      </w:r>
      <w:r w:rsidRPr="00686B40">
        <w:t>article 8 de la Convention ;</w:t>
      </w:r>
    </w:p>
    <w:p w:rsidR="00686B40" w:rsidRPr="00686B40" w:rsidRDefault="00686B40" w:rsidP="00686B40">
      <w:pPr>
        <w:pStyle w:val="JuList"/>
      </w:pPr>
    </w:p>
    <w:p w:rsidR="00686B40" w:rsidRPr="00686B40" w:rsidRDefault="00686B40" w:rsidP="00686B40">
      <w:pPr>
        <w:pStyle w:val="JuList"/>
      </w:pPr>
      <w:r w:rsidRPr="00686B40">
        <w:t>3.  </w:t>
      </w:r>
      <w:r w:rsidRPr="00686B40">
        <w:rPr>
          <w:i/>
        </w:rPr>
        <w:t>Dit</w:t>
      </w:r>
    </w:p>
    <w:p w:rsidR="00686B40" w:rsidRPr="00C2548D" w:rsidRDefault="00686B40" w:rsidP="0051559C">
      <w:pPr>
        <w:pStyle w:val="JuLista"/>
        <w:rPr>
          <w:lang w:val="fr-FR"/>
        </w:rPr>
      </w:pPr>
      <w:r w:rsidRPr="00C2548D">
        <w:rPr>
          <w:lang w:val="fr-FR"/>
        </w:rPr>
        <w:t>a)  que l</w:t>
      </w:r>
      <w:r w:rsidR="00C2548D">
        <w:rPr>
          <w:lang w:val="fr-FR"/>
        </w:rPr>
        <w:t>’</w:t>
      </w:r>
      <w:r w:rsidRPr="00C2548D">
        <w:rPr>
          <w:lang w:val="fr-FR"/>
        </w:rPr>
        <w:t xml:space="preserve">État défendeur doit verser </w:t>
      </w:r>
      <w:r w:rsidR="000268D7" w:rsidRPr="00C2548D">
        <w:rPr>
          <w:lang w:val="fr-FR"/>
        </w:rPr>
        <w:t>au requérant</w:t>
      </w:r>
      <w:r w:rsidRPr="00C2548D">
        <w:rPr>
          <w:lang w:val="fr-FR"/>
        </w:rPr>
        <w:t>, dans les trois mois à compter du jour où l</w:t>
      </w:r>
      <w:r w:rsidR="00C2548D">
        <w:rPr>
          <w:lang w:val="fr-FR"/>
        </w:rPr>
        <w:t>’</w:t>
      </w:r>
      <w:r w:rsidRPr="00C2548D">
        <w:rPr>
          <w:lang w:val="fr-FR"/>
        </w:rPr>
        <w:t xml:space="preserve">arrêt sera devenu définitif </w:t>
      </w:r>
      <w:r w:rsidR="006767B6" w:rsidRPr="00C2548D">
        <w:rPr>
          <w:lang w:val="fr-FR"/>
        </w:rPr>
        <w:t>en vertu de</w:t>
      </w:r>
      <w:r w:rsidRPr="00C2548D">
        <w:rPr>
          <w:lang w:val="fr-FR"/>
        </w:rPr>
        <w:t xml:space="preserve"> l</w:t>
      </w:r>
      <w:r w:rsidR="00C2548D">
        <w:rPr>
          <w:lang w:val="fr-FR"/>
        </w:rPr>
        <w:t>’</w:t>
      </w:r>
      <w:r w:rsidRPr="00C2548D">
        <w:rPr>
          <w:lang w:val="fr-FR"/>
        </w:rPr>
        <w:t>article 44 § 2 de la Convention, les sommes suivantes</w:t>
      </w:r>
      <w:r w:rsidR="00B92E1D" w:rsidRPr="00C2548D">
        <w:rPr>
          <w:lang w:val="fr-FR"/>
        </w:rPr>
        <w:t> </w:t>
      </w:r>
      <w:r w:rsidRPr="00C2548D">
        <w:rPr>
          <w:lang w:val="fr-FR"/>
        </w:rPr>
        <w:t>:</w:t>
      </w:r>
    </w:p>
    <w:p w:rsidR="00686B40" w:rsidRPr="00686B40" w:rsidRDefault="00686B40" w:rsidP="0051559C">
      <w:pPr>
        <w:pStyle w:val="JuListi"/>
      </w:pPr>
      <w:r w:rsidRPr="00686B40">
        <w:t>i</w:t>
      </w:r>
      <w:r w:rsidR="0054005F">
        <w:t>.</w:t>
      </w:r>
      <w:r w:rsidRPr="00686B40">
        <w:t>  </w:t>
      </w:r>
      <w:r w:rsidR="003C0D0C">
        <w:t>32</w:t>
      </w:r>
      <w:r w:rsidRPr="00D73835">
        <w:t> 000</w:t>
      </w:r>
      <w:r w:rsidR="00B92E1D">
        <w:t> </w:t>
      </w:r>
      <w:r w:rsidRPr="00686B40">
        <w:t>EUR (</w:t>
      </w:r>
      <w:r w:rsidR="003C0D0C">
        <w:t>trente-deux mille</w:t>
      </w:r>
      <w:r w:rsidRPr="00686B40">
        <w:t xml:space="preserve"> euros), plus tout montant pouvant être dû à titre d</w:t>
      </w:r>
      <w:r w:rsidR="00C2548D">
        <w:t>’</w:t>
      </w:r>
      <w:r w:rsidRPr="00686B40">
        <w:t>impôt, pour dommage moral ;</w:t>
      </w:r>
    </w:p>
    <w:p w:rsidR="00686B40" w:rsidRPr="00686B40" w:rsidRDefault="00686B40" w:rsidP="0051559C">
      <w:pPr>
        <w:pStyle w:val="JuListi"/>
      </w:pPr>
      <w:r w:rsidRPr="00686B40">
        <w:t>ii</w:t>
      </w:r>
      <w:r w:rsidR="0054005F">
        <w:t>.</w:t>
      </w:r>
      <w:r w:rsidRPr="00686B40">
        <w:t>  </w:t>
      </w:r>
      <w:r w:rsidR="0095736B">
        <w:t>5 000</w:t>
      </w:r>
      <w:r w:rsidR="00B92E1D">
        <w:t> </w:t>
      </w:r>
      <w:r w:rsidRPr="00686B40">
        <w:t>EUR (</w:t>
      </w:r>
      <w:r w:rsidR="0095736B">
        <w:t>cinq mille euros</w:t>
      </w:r>
      <w:r w:rsidRPr="00686B40">
        <w:t>), plus tout montant pouvant être dû à titre d</w:t>
      </w:r>
      <w:r w:rsidR="00C2548D">
        <w:t>’</w:t>
      </w:r>
      <w:r w:rsidRPr="00686B40">
        <w:t>impôt par l</w:t>
      </w:r>
      <w:r w:rsidR="000268D7">
        <w:t>e requérant</w:t>
      </w:r>
      <w:r w:rsidRPr="00686B40">
        <w:t>, pour frais et dépens ;</w:t>
      </w:r>
    </w:p>
    <w:p w:rsidR="00686B40" w:rsidRPr="00C2548D" w:rsidRDefault="00686B40" w:rsidP="00EC75BB">
      <w:pPr>
        <w:pStyle w:val="JuLista"/>
        <w:rPr>
          <w:lang w:val="fr-FR"/>
        </w:rPr>
      </w:pPr>
      <w:r w:rsidRPr="00C2548D">
        <w:rPr>
          <w:lang w:val="fr-FR"/>
        </w:rPr>
        <w:t>b)  qu</w:t>
      </w:r>
      <w:r w:rsidR="00C2548D">
        <w:rPr>
          <w:lang w:val="fr-FR"/>
        </w:rPr>
        <w:t>’</w:t>
      </w:r>
      <w:r w:rsidRPr="00C2548D">
        <w:rPr>
          <w:lang w:val="fr-FR"/>
        </w:rPr>
        <w:t>à compter de l</w:t>
      </w:r>
      <w:r w:rsidR="00C2548D">
        <w:rPr>
          <w:lang w:val="fr-FR"/>
        </w:rPr>
        <w:t>’</w:t>
      </w:r>
      <w:r w:rsidRPr="00C2548D">
        <w:rPr>
          <w:lang w:val="fr-FR"/>
        </w:rPr>
        <w:t>expiration dudit délai et jusqu</w:t>
      </w:r>
      <w:r w:rsidR="00C2548D">
        <w:rPr>
          <w:lang w:val="fr-FR"/>
        </w:rPr>
        <w:t>’</w:t>
      </w:r>
      <w:r w:rsidRPr="00C2548D">
        <w:rPr>
          <w:lang w:val="fr-FR"/>
        </w:rPr>
        <w:t>au versement, ces montants seront à majorer d</w:t>
      </w:r>
      <w:r w:rsidR="00C2548D">
        <w:rPr>
          <w:lang w:val="fr-FR"/>
        </w:rPr>
        <w:t>’</w:t>
      </w:r>
      <w:r w:rsidRPr="00C2548D">
        <w:rPr>
          <w:lang w:val="fr-FR"/>
        </w:rPr>
        <w:t>un intérêt simple à un taux égal à celui de la facilité de prêt marginal de la Banque centrale européenne applicable pendant cette période, augmenté de trois points de pourcentage ;</w:t>
      </w:r>
    </w:p>
    <w:p w:rsidR="00686B40" w:rsidRPr="00C2548D" w:rsidRDefault="00686B40" w:rsidP="00686B40">
      <w:pPr>
        <w:pStyle w:val="JuList"/>
        <w:rPr>
          <w:lang w:val="fr-FR"/>
        </w:rPr>
      </w:pPr>
    </w:p>
    <w:p w:rsidR="00686B40" w:rsidRDefault="00686B40" w:rsidP="00686B40">
      <w:pPr>
        <w:pStyle w:val="JuList"/>
      </w:pPr>
      <w:r w:rsidRPr="00686B40">
        <w:t>4.  </w:t>
      </w:r>
      <w:r w:rsidRPr="00686B40">
        <w:rPr>
          <w:i/>
        </w:rPr>
        <w:t>Rejette</w:t>
      </w:r>
      <w:r w:rsidRPr="00686B40">
        <w:t xml:space="preserve"> la demande de satisfaction équitable pour le surplus.</w:t>
      </w:r>
    </w:p>
    <w:p w:rsidR="000268D7" w:rsidRPr="00686B40" w:rsidRDefault="000268D7" w:rsidP="00686B40">
      <w:pPr>
        <w:pStyle w:val="JuList"/>
      </w:pPr>
    </w:p>
    <w:p w:rsidR="00686B40" w:rsidRPr="00C2548D" w:rsidRDefault="00686B40" w:rsidP="00EC75BB">
      <w:pPr>
        <w:pStyle w:val="JuParaLast"/>
        <w:rPr>
          <w:lang w:val="fr-FR"/>
        </w:rPr>
      </w:pPr>
      <w:r w:rsidRPr="00C2548D">
        <w:rPr>
          <w:lang w:val="fr-FR"/>
        </w:rPr>
        <w:t>Fait en français, puis communiqué par écrit, en application de l</w:t>
      </w:r>
      <w:r w:rsidR="00C2548D">
        <w:rPr>
          <w:lang w:val="fr-FR"/>
        </w:rPr>
        <w:t>’</w:t>
      </w:r>
      <w:r w:rsidRPr="00C2548D">
        <w:rPr>
          <w:lang w:val="fr-FR"/>
        </w:rPr>
        <w:t>article 77 §§ 2 et 3 du règlement.</w:t>
      </w:r>
    </w:p>
    <w:p w:rsidR="00E77CB3" w:rsidRPr="00C2548D" w:rsidRDefault="00D67316" w:rsidP="00E77CB3">
      <w:pPr>
        <w:pStyle w:val="JuSigned"/>
        <w:keepNext/>
        <w:keepLines/>
        <w:rPr>
          <w:lang w:val="fr-FR"/>
        </w:rPr>
      </w:pPr>
      <w:r w:rsidRPr="00C2548D">
        <w:rPr>
          <w:lang w:val="fr-FR"/>
        </w:rPr>
        <w:tab/>
      </w:r>
      <w:r w:rsidR="00041B4B" w:rsidRPr="00C2548D">
        <w:rPr>
          <w:szCs w:val="24"/>
          <w:lang w:val="fr-FR"/>
        </w:rPr>
        <w:t>Fatoş Aracı</w:t>
      </w:r>
      <w:r w:rsidR="00E77CB3" w:rsidRPr="00C2548D">
        <w:rPr>
          <w:lang w:val="fr-FR"/>
        </w:rPr>
        <w:tab/>
      </w:r>
      <w:r w:rsidRPr="00C2548D">
        <w:rPr>
          <w:szCs w:val="24"/>
          <w:lang w:val="fr-FR"/>
        </w:rPr>
        <w:t>Päivi Hirvelä</w:t>
      </w:r>
      <w:r w:rsidR="00E77CB3" w:rsidRPr="00C2548D">
        <w:rPr>
          <w:lang w:val="fr-FR"/>
        </w:rPr>
        <w:br/>
      </w:r>
      <w:r w:rsidR="00E77CB3" w:rsidRPr="00C2548D">
        <w:rPr>
          <w:lang w:val="fr-FR"/>
        </w:rPr>
        <w:tab/>
      </w:r>
      <w:r w:rsidRPr="00C2548D">
        <w:rPr>
          <w:lang w:val="fr-FR"/>
        </w:rPr>
        <w:t>Greffière</w:t>
      </w:r>
      <w:r w:rsidR="00562761" w:rsidRPr="00C2548D">
        <w:rPr>
          <w:lang w:val="fr-FR"/>
        </w:rPr>
        <w:t xml:space="preserve"> adjointe</w:t>
      </w:r>
      <w:r w:rsidR="00E77CB3" w:rsidRPr="00C2548D">
        <w:rPr>
          <w:lang w:val="fr-FR"/>
        </w:rPr>
        <w:tab/>
      </w:r>
      <w:r w:rsidRPr="00C2548D">
        <w:rPr>
          <w:lang w:val="fr-FR"/>
        </w:rPr>
        <w:t>Présidente</w:t>
      </w:r>
    </w:p>
    <w:p w:rsidR="004D15F3" w:rsidRPr="00C2548D" w:rsidRDefault="004D15F3" w:rsidP="00C36408">
      <w:pPr>
        <w:rPr>
          <w:lang w:val="fr-FR"/>
        </w:rPr>
      </w:pPr>
    </w:p>
    <w:sectPr w:rsidR="004D15F3" w:rsidRPr="00C2548D" w:rsidSect="00795FBD">
      <w:headerReference w:type="even" r:id="rId26"/>
      <w:headerReference w:type="default" r:id="rId27"/>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39" w:rsidRDefault="00205039" w:rsidP="00E77CB3">
      <w:r>
        <w:separator/>
      </w:r>
    </w:p>
  </w:endnote>
  <w:endnote w:type="continuationSeparator" w:id="0">
    <w:p w:rsidR="00205039" w:rsidRDefault="00205039"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39" w:rsidRPr="00150BFA" w:rsidRDefault="00205039" w:rsidP="007B7DA2">
    <w:pPr>
      <w:jc w:val="center"/>
    </w:pPr>
    <w:r>
      <w:rPr>
        <w:noProof/>
        <w:lang w:eastAsia="ja-JP"/>
      </w:rPr>
      <w:drawing>
        <wp:inline distT="0" distB="0" distL="0" distR="0" wp14:anchorId="37196583" wp14:editId="6458351E">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05039" w:rsidRDefault="00205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39" w:rsidRDefault="00205039" w:rsidP="00E77CB3">
      <w:r>
        <w:separator/>
      </w:r>
    </w:p>
  </w:footnote>
  <w:footnote w:type="continuationSeparator" w:id="0">
    <w:p w:rsidR="00205039" w:rsidRDefault="00205039"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39" w:rsidRPr="00795FBD" w:rsidRDefault="00205039" w:rsidP="00795F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39" w:rsidRPr="00A45145" w:rsidRDefault="00205039" w:rsidP="007B7DA2">
    <w:pPr>
      <w:jc w:val="center"/>
    </w:pPr>
    <w:r>
      <w:rPr>
        <w:noProof/>
        <w:lang w:eastAsia="ja-JP"/>
      </w:rPr>
      <w:drawing>
        <wp:inline distT="0" distB="0" distL="0" distR="0" wp14:anchorId="5FCDDBBE" wp14:editId="7773F8B6">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05039" w:rsidRDefault="00205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39" w:rsidRPr="00E359BB" w:rsidRDefault="00205039" w:rsidP="00C611D8">
    <w:pPr>
      <w:pStyle w:val="ECHRHeader"/>
    </w:pPr>
    <w:r w:rsidRPr="00E359BB">
      <w:rPr>
        <w:rStyle w:val="PageNumber"/>
      </w:rPr>
      <w:fldChar w:fldCharType="begin"/>
    </w:r>
    <w:r w:rsidRPr="00E359BB">
      <w:rPr>
        <w:rStyle w:val="PageNumber"/>
      </w:rPr>
      <w:instrText xml:space="preserve"> PAGE </w:instrText>
    </w:r>
    <w:r w:rsidRPr="00E359BB">
      <w:rPr>
        <w:rStyle w:val="PageNumber"/>
      </w:rPr>
      <w:fldChar w:fldCharType="separate"/>
    </w:r>
    <w:r w:rsidR="00C2548D">
      <w:rPr>
        <w:rStyle w:val="PageNumber"/>
        <w:noProof/>
      </w:rPr>
      <w:t>6</w:t>
    </w:r>
    <w:r w:rsidRPr="00E359BB">
      <w:rPr>
        <w:rStyle w:val="PageNumber"/>
      </w:rPr>
      <w:fldChar w:fldCharType="end"/>
    </w:r>
    <w:r w:rsidRPr="00E359BB">
      <w:rPr>
        <w:rStyle w:val="PageNumber"/>
      </w:rPr>
      <w:tab/>
    </w:r>
    <w:r>
      <w:rPr>
        <w:noProof/>
        <w:lang w:val="en-GB"/>
      </w:rPr>
      <w:t>ARRÊT</w:t>
    </w:r>
    <w:r w:rsidRPr="00E359BB">
      <w:t xml:space="preserve"> AKINNIBOSUN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39" w:rsidRPr="00E359BB" w:rsidRDefault="00205039" w:rsidP="00C63990">
    <w:pPr>
      <w:pStyle w:val="ECHRHeader"/>
    </w:pPr>
    <w:r w:rsidRPr="00C63990">
      <w:tab/>
    </w:r>
    <w:r>
      <w:rPr>
        <w:noProof/>
        <w:lang w:val="en-GB"/>
      </w:rPr>
      <w:t>ARRÊT</w:t>
    </w:r>
    <w:r w:rsidRPr="00EB7E63">
      <w:rPr>
        <w:lang w:val="en-GB"/>
      </w:rPr>
      <w:t xml:space="preserve"> </w:t>
    </w:r>
    <w:r>
      <w:rPr>
        <w:lang w:val="en-GB"/>
      </w:rPr>
      <w:t>AKINNIBOSUN c. ITALIE</w:t>
    </w:r>
    <w:r w:rsidRPr="00EB7E63">
      <w:rPr>
        <w:lang w:val="en-GB"/>
      </w:rPr>
      <w:tab/>
    </w:r>
    <w:r w:rsidRPr="00E359BB">
      <w:rPr>
        <w:rStyle w:val="PageNumber"/>
      </w:rPr>
      <w:fldChar w:fldCharType="begin"/>
    </w:r>
    <w:r w:rsidRPr="00E359BB">
      <w:rPr>
        <w:rStyle w:val="PageNumber"/>
      </w:rPr>
      <w:instrText xml:space="preserve"> PAGE </w:instrText>
    </w:r>
    <w:r w:rsidRPr="00E359BB">
      <w:rPr>
        <w:rStyle w:val="PageNumber"/>
      </w:rPr>
      <w:fldChar w:fldCharType="separate"/>
    </w:r>
    <w:r w:rsidR="00C2548D">
      <w:rPr>
        <w:rStyle w:val="PageNumber"/>
        <w:noProof/>
      </w:rPr>
      <w:t>7</w:t>
    </w:r>
    <w:r w:rsidRPr="00E359B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67316"/>
    <w:rsid w:val="000041F8"/>
    <w:rsid w:val="000042A8"/>
    <w:rsid w:val="00004308"/>
    <w:rsid w:val="00005BF0"/>
    <w:rsid w:val="00007154"/>
    <w:rsid w:val="000103AE"/>
    <w:rsid w:val="00011D69"/>
    <w:rsid w:val="00012AD3"/>
    <w:rsid w:val="00013C3B"/>
    <w:rsid w:val="00015C2D"/>
    <w:rsid w:val="00015F00"/>
    <w:rsid w:val="00020B4B"/>
    <w:rsid w:val="00022C1D"/>
    <w:rsid w:val="000268D7"/>
    <w:rsid w:val="00026CF3"/>
    <w:rsid w:val="00034987"/>
    <w:rsid w:val="0003673D"/>
    <w:rsid w:val="000419D4"/>
    <w:rsid w:val="00041B4B"/>
    <w:rsid w:val="00057D3E"/>
    <w:rsid w:val="000602DF"/>
    <w:rsid w:val="00061B05"/>
    <w:rsid w:val="000632D5"/>
    <w:rsid w:val="000644EE"/>
    <w:rsid w:val="00066A71"/>
    <w:rsid w:val="000702C2"/>
    <w:rsid w:val="000710D3"/>
    <w:rsid w:val="000900D5"/>
    <w:rsid w:val="000906F6"/>
    <w:rsid w:val="00091DA8"/>
    <w:rsid w:val="000925AD"/>
    <w:rsid w:val="00093CCF"/>
    <w:rsid w:val="000A0CBE"/>
    <w:rsid w:val="000A24EB"/>
    <w:rsid w:val="000B0DAD"/>
    <w:rsid w:val="000B6923"/>
    <w:rsid w:val="000C28DE"/>
    <w:rsid w:val="000C462B"/>
    <w:rsid w:val="000C5F3C"/>
    <w:rsid w:val="000C6339"/>
    <w:rsid w:val="000C6DCC"/>
    <w:rsid w:val="000D47AA"/>
    <w:rsid w:val="000D56EA"/>
    <w:rsid w:val="000D6C8D"/>
    <w:rsid w:val="000D721F"/>
    <w:rsid w:val="000E069B"/>
    <w:rsid w:val="000E0E82"/>
    <w:rsid w:val="000E1DC5"/>
    <w:rsid w:val="000E223F"/>
    <w:rsid w:val="000E4318"/>
    <w:rsid w:val="000E6D7E"/>
    <w:rsid w:val="000E7D45"/>
    <w:rsid w:val="000F00EF"/>
    <w:rsid w:val="000F7851"/>
    <w:rsid w:val="00101003"/>
    <w:rsid w:val="00104E23"/>
    <w:rsid w:val="0010556A"/>
    <w:rsid w:val="00110FD6"/>
    <w:rsid w:val="00111B0C"/>
    <w:rsid w:val="0011269D"/>
    <w:rsid w:val="00120D6C"/>
    <w:rsid w:val="001257EC"/>
    <w:rsid w:val="00133D33"/>
    <w:rsid w:val="00134D64"/>
    <w:rsid w:val="00135A30"/>
    <w:rsid w:val="0013612C"/>
    <w:rsid w:val="00136E76"/>
    <w:rsid w:val="00137FF6"/>
    <w:rsid w:val="00141650"/>
    <w:rsid w:val="001463FD"/>
    <w:rsid w:val="00156A3E"/>
    <w:rsid w:val="0016117E"/>
    <w:rsid w:val="00162A12"/>
    <w:rsid w:val="00166530"/>
    <w:rsid w:val="001832BD"/>
    <w:rsid w:val="001943B5"/>
    <w:rsid w:val="00195134"/>
    <w:rsid w:val="001A145B"/>
    <w:rsid w:val="001A674C"/>
    <w:rsid w:val="001A6D9D"/>
    <w:rsid w:val="001B3B24"/>
    <w:rsid w:val="001B5EBB"/>
    <w:rsid w:val="001C0F98"/>
    <w:rsid w:val="001C2A42"/>
    <w:rsid w:val="001C50FD"/>
    <w:rsid w:val="001C68DB"/>
    <w:rsid w:val="001D63ED"/>
    <w:rsid w:val="001D7348"/>
    <w:rsid w:val="001D7BF2"/>
    <w:rsid w:val="001E035B"/>
    <w:rsid w:val="001E0961"/>
    <w:rsid w:val="001E3EAE"/>
    <w:rsid w:val="001E6F32"/>
    <w:rsid w:val="001F2145"/>
    <w:rsid w:val="001F6226"/>
    <w:rsid w:val="001F6262"/>
    <w:rsid w:val="001F67B0"/>
    <w:rsid w:val="001F7B3D"/>
    <w:rsid w:val="0020043B"/>
    <w:rsid w:val="00205039"/>
    <w:rsid w:val="00205F9F"/>
    <w:rsid w:val="00210338"/>
    <w:rsid w:val="002115FC"/>
    <w:rsid w:val="0021423C"/>
    <w:rsid w:val="002154AF"/>
    <w:rsid w:val="00230D00"/>
    <w:rsid w:val="002316EE"/>
    <w:rsid w:val="00231DF7"/>
    <w:rsid w:val="00231EB0"/>
    <w:rsid w:val="00231FD1"/>
    <w:rsid w:val="002339E0"/>
    <w:rsid w:val="00233CF8"/>
    <w:rsid w:val="0023575D"/>
    <w:rsid w:val="00237148"/>
    <w:rsid w:val="00240524"/>
    <w:rsid w:val="00241005"/>
    <w:rsid w:val="0024222D"/>
    <w:rsid w:val="00244B0E"/>
    <w:rsid w:val="00244F6C"/>
    <w:rsid w:val="002532C5"/>
    <w:rsid w:val="00260C03"/>
    <w:rsid w:val="0026540E"/>
    <w:rsid w:val="00270273"/>
    <w:rsid w:val="00275123"/>
    <w:rsid w:val="002756B6"/>
    <w:rsid w:val="0027608B"/>
    <w:rsid w:val="00277A66"/>
    <w:rsid w:val="00282240"/>
    <w:rsid w:val="00284260"/>
    <w:rsid w:val="002948AD"/>
    <w:rsid w:val="002A0185"/>
    <w:rsid w:val="002A01CC"/>
    <w:rsid w:val="002A61B1"/>
    <w:rsid w:val="002A663C"/>
    <w:rsid w:val="002A71F5"/>
    <w:rsid w:val="002B444B"/>
    <w:rsid w:val="002B5887"/>
    <w:rsid w:val="002C0E27"/>
    <w:rsid w:val="002C3040"/>
    <w:rsid w:val="002D022D"/>
    <w:rsid w:val="002D24BB"/>
    <w:rsid w:val="002D2DF2"/>
    <w:rsid w:val="002D4302"/>
    <w:rsid w:val="002E02CB"/>
    <w:rsid w:val="002E02EA"/>
    <w:rsid w:val="002F2AF7"/>
    <w:rsid w:val="002F70E9"/>
    <w:rsid w:val="002F7E1C"/>
    <w:rsid w:val="00301A75"/>
    <w:rsid w:val="00302F70"/>
    <w:rsid w:val="0030336F"/>
    <w:rsid w:val="0030375E"/>
    <w:rsid w:val="003054B3"/>
    <w:rsid w:val="00312771"/>
    <w:rsid w:val="00312A30"/>
    <w:rsid w:val="00316B20"/>
    <w:rsid w:val="00320F72"/>
    <w:rsid w:val="00321E25"/>
    <w:rsid w:val="0032463E"/>
    <w:rsid w:val="0032494E"/>
    <w:rsid w:val="00326224"/>
    <w:rsid w:val="00337EE4"/>
    <w:rsid w:val="00340FFD"/>
    <w:rsid w:val="003442AD"/>
    <w:rsid w:val="00344616"/>
    <w:rsid w:val="00345BBB"/>
    <w:rsid w:val="003472FA"/>
    <w:rsid w:val="0034799D"/>
    <w:rsid w:val="003506B1"/>
    <w:rsid w:val="00354F8C"/>
    <w:rsid w:val="00356AC7"/>
    <w:rsid w:val="003573B0"/>
    <w:rsid w:val="003609FA"/>
    <w:rsid w:val="003675B7"/>
    <w:rsid w:val="003710C8"/>
    <w:rsid w:val="00375005"/>
    <w:rsid w:val="003750BE"/>
    <w:rsid w:val="00387B9D"/>
    <w:rsid w:val="0039364F"/>
    <w:rsid w:val="00396686"/>
    <w:rsid w:val="0039778E"/>
    <w:rsid w:val="003A4004"/>
    <w:rsid w:val="003B03D9"/>
    <w:rsid w:val="003B0682"/>
    <w:rsid w:val="003B2814"/>
    <w:rsid w:val="003B4941"/>
    <w:rsid w:val="003C0D0C"/>
    <w:rsid w:val="003C5714"/>
    <w:rsid w:val="003C6B9F"/>
    <w:rsid w:val="003C6E2A"/>
    <w:rsid w:val="003D0299"/>
    <w:rsid w:val="003D03A8"/>
    <w:rsid w:val="003D23F7"/>
    <w:rsid w:val="003E1600"/>
    <w:rsid w:val="003E5DFC"/>
    <w:rsid w:val="003E6D80"/>
    <w:rsid w:val="003F05FA"/>
    <w:rsid w:val="003F2241"/>
    <w:rsid w:val="003F244A"/>
    <w:rsid w:val="003F268E"/>
    <w:rsid w:val="003F30B8"/>
    <w:rsid w:val="003F4C45"/>
    <w:rsid w:val="003F5F7B"/>
    <w:rsid w:val="003F7D64"/>
    <w:rsid w:val="004070E5"/>
    <w:rsid w:val="00414300"/>
    <w:rsid w:val="00420B91"/>
    <w:rsid w:val="00425C67"/>
    <w:rsid w:val="004264F2"/>
    <w:rsid w:val="00427E7A"/>
    <w:rsid w:val="004357F1"/>
    <w:rsid w:val="00436C49"/>
    <w:rsid w:val="00443B6D"/>
    <w:rsid w:val="00445366"/>
    <w:rsid w:val="00447F5B"/>
    <w:rsid w:val="004510CD"/>
    <w:rsid w:val="004542C7"/>
    <w:rsid w:val="00456F98"/>
    <w:rsid w:val="00461DB0"/>
    <w:rsid w:val="00463926"/>
    <w:rsid w:val="00464C9A"/>
    <w:rsid w:val="004741F5"/>
    <w:rsid w:val="00474F3D"/>
    <w:rsid w:val="00475808"/>
    <w:rsid w:val="00477E3A"/>
    <w:rsid w:val="00483E5F"/>
    <w:rsid w:val="00485FF9"/>
    <w:rsid w:val="00486BE5"/>
    <w:rsid w:val="004907F0"/>
    <w:rsid w:val="0049140B"/>
    <w:rsid w:val="004923A5"/>
    <w:rsid w:val="00496BFB"/>
    <w:rsid w:val="004A15C7"/>
    <w:rsid w:val="004B013B"/>
    <w:rsid w:val="004B112B"/>
    <w:rsid w:val="004C01E4"/>
    <w:rsid w:val="004C05D5"/>
    <w:rsid w:val="004C086C"/>
    <w:rsid w:val="004C11C5"/>
    <w:rsid w:val="004C1F56"/>
    <w:rsid w:val="004C27BC"/>
    <w:rsid w:val="004C3283"/>
    <w:rsid w:val="004C3901"/>
    <w:rsid w:val="004D15F3"/>
    <w:rsid w:val="004D2708"/>
    <w:rsid w:val="004D5311"/>
    <w:rsid w:val="004D55D7"/>
    <w:rsid w:val="004D5DCC"/>
    <w:rsid w:val="004E5F9D"/>
    <w:rsid w:val="004F10AF"/>
    <w:rsid w:val="004F11A4"/>
    <w:rsid w:val="004F2389"/>
    <w:rsid w:val="004F2979"/>
    <w:rsid w:val="004F304D"/>
    <w:rsid w:val="004F61BE"/>
    <w:rsid w:val="004F66B1"/>
    <w:rsid w:val="005013F2"/>
    <w:rsid w:val="005102F3"/>
    <w:rsid w:val="00511C07"/>
    <w:rsid w:val="0051338F"/>
    <w:rsid w:val="0051559C"/>
    <w:rsid w:val="005173A6"/>
    <w:rsid w:val="00520BAA"/>
    <w:rsid w:val="00525208"/>
    <w:rsid w:val="005257A5"/>
    <w:rsid w:val="005264C0"/>
    <w:rsid w:val="00526A8A"/>
    <w:rsid w:val="005273B8"/>
    <w:rsid w:val="00531DF2"/>
    <w:rsid w:val="0054005F"/>
    <w:rsid w:val="005442EE"/>
    <w:rsid w:val="00547353"/>
    <w:rsid w:val="005474E7"/>
    <w:rsid w:val="005512A3"/>
    <w:rsid w:val="005578CE"/>
    <w:rsid w:val="00562761"/>
    <w:rsid w:val="00562781"/>
    <w:rsid w:val="00563522"/>
    <w:rsid w:val="0057271C"/>
    <w:rsid w:val="00572845"/>
    <w:rsid w:val="005760C1"/>
    <w:rsid w:val="0058032A"/>
    <w:rsid w:val="00587A0B"/>
    <w:rsid w:val="00587B02"/>
    <w:rsid w:val="00592772"/>
    <w:rsid w:val="0059574A"/>
    <w:rsid w:val="00596468"/>
    <w:rsid w:val="005A02CB"/>
    <w:rsid w:val="005A1B9B"/>
    <w:rsid w:val="005A6751"/>
    <w:rsid w:val="005B092E"/>
    <w:rsid w:val="005B152C"/>
    <w:rsid w:val="005B1EE0"/>
    <w:rsid w:val="005B2B24"/>
    <w:rsid w:val="005B4425"/>
    <w:rsid w:val="005B4B94"/>
    <w:rsid w:val="005B4E86"/>
    <w:rsid w:val="005C3EE8"/>
    <w:rsid w:val="005D34F9"/>
    <w:rsid w:val="005D4190"/>
    <w:rsid w:val="005D67A3"/>
    <w:rsid w:val="005E134A"/>
    <w:rsid w:val="005E2988"/>
    <w:rsid w:val="005E3085"/>
    <w:rsid w:val="005E33FC"/>
    <w:rsid w:val="005E37C6"/>
    <w:rsid w:val="005F51E1"/>
    <w:rsid w:val="00611C80"/>
    <w:rsid w:val="00620692"/>
    <w:rsid w:val="006242CA"/>
    <w:rsid w:val="00625CF4"/>
    <w:rsid w:val="00627507"/>
    <w:rsid w:val="006324D5"/>
    <w:rsid w:val="00633717"/>
    <w:rsid w:val="006344E1"/>
    <w:rsid w:val="006545C4"/>
    <w:rsid w:val="00661971"/>
    <w:rsid w:val="00661CE8"/>
    <w:rsid w:val="006623D9"/>
    <w:rsid w:val="0066550C"/>
    <w:rsid w:val="00667B26"/>
    <w:rsid w:val="006716F2"/>
    <w:rsid w:val="006767B6"/>
    <w:rsid w:val="00682BF2"/>
    <w:rsid w:val="006859CE"/>
    <w:rsid w:val="00686B40"/>
    <w:rsid w:val="00691270"/>
    <w:rsid w:val="00694A2E"/>
    <w:rsid w:val="00694BA8"/>
    <w:rsid w:val="006A037C"/>
    <w:rsid w:val="006A2C97"/>
    <w:rsid w:val="006A36F4"/>
    <w:rsid w:val="006A406F"/>
    <w:rsid w:val="006A54EE"/>
    <w:rsid w:val="006A5D3A"/>
    <w:rsid w:val="006A6BE6"/>
    <w:rsid w:val="006B21D8"/>
    <w:rsid w:val="006C1038"/>
    <w:rsid w:val="006C1263"/>
    <w:rsid w:val="006C14C0"/>
    <w:rsid w:val="006C1BCB"/>
    <w:rsid w:val="006C23D4"/>
    <w:rsid w:val="006C5380"/>
    <w:rsid w:val="006C7BB0"/>
    <w:rsid w:val="006D3237"/>
    <w:rsid w:val="006E2E37"/>
    <w:rsid w:val="006E3CF1"/>
    <w:rsid w:val="006E7E80"/>
    <w:rsid w:val="006F48CA"/>
    <w:rsid w:val="006F64DD"/>
    <w:rsid w:val="00715127"/>
    <w:rsid w:val="00715E8E"/>
    <w:rsid w:val="007210FF"/>
    <w:rsid w:val="00723580"/>
    <w:rsid w:val="00723755"/>
    <w:rsid w:val="00723ACF"/>
    <w:rsid w:val="00727419"/>
    <w:rsid w:val="0073136C"/>
    <w:rsid w:val="00731F0F"/>
    <w:rsid w:val="00733250"/>
    <w:rsid w:val="00733AD7"/>
    <w:rsid w:val="00740792"/>
    <w:rsid w:val="00741404"/>
    <w:rsid w:val="007449E5"/>
    <w:rsid w:val="00747FF0"/>
    <w:rsid w:val="00764D4E"/>
    <w:rsid w:val="00765A1F"/>
    <w:rsid w:val="00767E5B"/>
    <w:rsid w:val="00775B6D"/>
    <w:rsid w:val="00776D68"/>
    <w:rsid w:val="007850EE"/>
    <w:rsid w:val="00785B95"/>
    <w:rsid w:val="00790E96"/>
    <w:rsid w:val="00793366"/>
    <w:rsid w:val="007952DA"/>
    <w:rsid w:val="00795FBD"/>
    <w:rsid w:val="007A700F"/>
    <w:rsid w:val="007A716F"/>
    <w:rsid w:val="007A739D"/>
    <w:rsid w:val="007A7AB4"/>
    <w:rsid w:val="007B270A"/>
    <w:rsid w:val="007B4B56"/>
    <w:rsid w:val="007B6CE1"/>
    <w:rsid w:val="007B7DA2"/>
    <w:rsid w:val="007C0695"/>
    <w:rsid w:val="007C419A"/>
    <w:rsid w:val="007C4CC8"/>
    <w:rsid w:val="007C5426"/>
    <w:rsid w:val="007C5798"/>
    <w:rsid w:val="007D4832"/>
    <w:rsid w:val="007D5CCA"/>
    <w:rsid w:val="007E21B2"/>
    <w:rsid w:val="007E2C4E"/>
    <w:rsid w:val="007E390A"/>
    <w:rsid w:val="007E3ED4"/>
    <w:rsid w:val="007E48C2"/>
    <w:rsid w:val="007F1905"/>
    <w:rsid w:val="00801300"/>
    <w:rsid w:val="00801719"/>
    <w:rsid w:val="00802B78"/>
    <w:rsid w:val="00802C64"/>
    <w:rsid w:val="00805E52"/>
    <w:rsid w:val="008061D0"/>
    <w:rsid w:val="00810B38"/>
    <w:rsid w:val="008204C7"/>
    <w:rsid w:val="00820992"/>
    <w:rsid w:val="00823602"/>
    <w:rsid w:val="008255F5"/>
    <w:rsid w:val="0083014E"/>
    <w:rsid w:val="0083214A"/>
    <w:rsid w:val="008324D3"/>
    <w:rsid w:val="00834220"/>
    <w:rsid w:val="00837BEB"/>
    <w:rsid w:val="00841355"/>
    <w:rsid w:val="0084351A"/>
    <w:rsid w:val="00845723"/>
    <w:rsid w:val="00851EF9"/>
    <w:rsid w:val="0085697D"/>
    <w:rsid w:val="008577FD"/>
    <w:rsid w:val="00860B03"/>
    <w:rsid w:val="0086497A"/>
    <w:rsid w:val="00870B9A"/>
    <w:rsid w:val="008713A1"/>
    <w:rsid w:val="008754AB"/>
    <w:rsid w:val="0088060C"/>
    <w:rsid w:val="00885916"/>
    <w:rsid w:val="00886AE2"/>
    <w:rsid w:val="00893576"/>
    <w:rsid w:val="0089377A"/>
    <w:rsid w:val="00893E73"/>
    <w:rsid w:val="008B02DC"/>
    <w:rsid w:val="008B57CE"/>
    <w:rsid w:val="008C0402"/>
    <w:rsid w:val="008C26DE"/>
    <w:rsid w:val="008C7378"/>
    <w:rsid w:val="008D2225"/>
    <w:rsid w:val="008D2477"/>
    <w:rsid w:val="008D4752"/>
    <w:rsid w:val="008D7298"/>
    <w:rsid w:val="008E271C"/>
    <w:rsid w:val="008E3424"/>
    <w:rsid w:val="008E418E"/>
    <w:rsid w:val="008E5AFB"/>
    <w:rsid w:val="008E5BC6"/>
    <w:rsid w:val="008E6A25"/>
    <w:rsid w:val="008F49AA"/>
    <w:rsid w:val="008F5193"/>
    <w:rsid w:val="009013A7"/>
    <w:rsid w:val="009017FB"/>
    <w:rsid w:val="009017FC"/>
    <w:rsid w:val="0090506B"/>
    <w:rsid w:val="009050C9"/>
    <w:rsid w:val="009066FC"/>
    <w:rsid w:val="009140A3"/>
    <w:rsid w:val="009144A2"/>
    <w:rsid w:val="00914A79"/>
    <w:rsid w:val="0091510C"/>
    <w:rsid w:val="00916A85"/>
    <w:rsid w:val="009259AC"/>
    <w:rsid w:val="00926AD5"/>
    <w:rsid w:val="00926F38"/>
    <w:rsid w:val="00934301"/>
    <w:rsid w:val="009358E4"/>
    <w:rsid w:val="00936C2D"/>
    <w:rsid w:val="00936CD1"/>
    <w:rsid w:val="00941747"/>
    <w:rsid w:val="00941EFB"/>
    <w:rsid w:val="0094496E"/>
    <w:rsid w:val="00947AFB"/>
    <w:rsid w:val="00951D7D"/>
    <w:rsid w:val="00957200"/>
    <w:rsid w:val="0095736B"/>
    <w:rsid w:val="00961BBA"/>
    <w:rsid w:val="009630C7"/>
    <w:rsid w:val="00972B55"/>
    <w:rsid w:val="009743B7"/>
    <w:rsid w:val="0097470A"/>
    <w:rsid w:val="00980CC2"/>
    <w:rsid w:val="0098228B"/>
    <w:rsid w:val="009828DA"/>
    <w:rsid w:val="00983AD4"/>
    <w:rsid w:val="00985BAB"/>
    <w:rsid w:val="0099454D"/>
    <w:rsid w:val="009A044B"/>
    <w:rsid w:val="009A0CF1"/>
    <w:rsid w:val="009A690C"/>
    <w:rsid w:val="009B1B5F"/>
    <w:rsid w:val="009B2E37"/>
    <w:rsid w:val="009B6673"/>
    <w:rsid w:val="009C191B"/>
    <w:rsid w:val="009C2BD6"/>
    <w:rsid w:val="009C39EA"/>
    <w:rsid w:val="009D4574"/>
    <w:rsid w:val="009E1F32"/>
    <w:rsid w:val="009E2E79"/>
    <w:rsid w:val="009E42D4"/>
    <w:rsid w:val="009E4B46"/>
    <w:rsid w:val="009E6E63"/>
    <w:rsid w:val="009E6FF1"/>
    <w:rsid w:val="009E776C"/>
    <w:rsid w:val="009F21FF"/>
    <w:rsid w:val="00A00144"/>
    <w:rsid w:val="00A1726E"/>
    <w:rsid w:val="00A204CF"/>
    <w:rsid w:val="00A23D49"/>
    <w:rsid w:val="00A24CC9"/>
    <w:rsid w:val="00A27004"/>
    <w:rsid w:val="00A30C29"/>
    <w:rsid w:val="00A34C81"/>
    <w:rsid w:val="00A34D5E"/>
    <w:rsid w:val="00A34DD6"/>
    <w:rsid w:val="00A36819"/>
    <w:rsid w:val="00A36989"/>
    <w:rsid w:val="00A43628"/>
    <w:rsid w:val="00A50EB6"/>
    <w:rsid w:val="00A54192"/>
    <w:rsid w:val="00A55D91"/>
    <w:rsid w:val="00A6035E"/>
    <w:rsid w:val="00A6144C"/>
    <w:rsid w:val="00A66617"/>
    <w:rsid w:val="00A671F8"/>
    <w:rsid w:val="00A673A4"/>
    <w:rsid w:val="00A724AE"/>
    <w:rsid w:val="00A73191"/>
    <w:rsid w:val="00A73329"/>
    <w:rsid w:val="00A74BC1"/>
    <w:rsid w:val="00A81D2D"/>
    <w:rsid w:val="00A82359"/>
    <w:rsid w:val="00A865D2"/>
    <w:rsid w:val="00A94C20"/>
    <w:rsid w:val="00AA0CFF"/>
    <w:rsid w:val="00AA227F"/>
    <w:rsid w:val="00AA3BC7"/>
    <w:rsid w:val="00AA754A"/>
    <w:rsid w:val="00AB099E"/>
    <w:rsid w:val="00AB4328"/>
    <w:rsid w:val="00AB541D"/>
    <w:rsid w:val="00AC0824"/>
    <w:rsid w:val="00AC356A"/>
    <w:rsid w:val="00AC7360"/>
    <w:rsid w:val="00AD1C6E"/>
    <w:rsid w:val="00AD412E"/>
    <w:rsid w:val="00AE0A2E"/>
    <w:rsid w:val="00AE354C"/>
    <w:rsid w:val="00AE763D"/>
    <w:rsid w:val="00AF4B07"/>
    <w:rsid w:val="00AF6186"/>
    <w:rsid w:val="00AF7A3A"/>
    <w:rsid w:val="00B02C8E"/>
    <w:rsid w:val="00B160DB"/>
    <w:rsid w:val="00B20836"/>
    <w:rsid w:val="00B235BB"/>
    <w:rsid w:val="00B24975"/>
    <w:rsid w:val="00B27A44"/>
    <w:rsid w:val="00B30BBF"/>
    <w:rsid w:val="00B33C03"/>
    <w:rsid w:val="00B40069"/>
    <w:rsid w:val="00B42ABA"/>
    <w:rsid w:val="00B44E56"/>
    <w:rsid w:val="00B46543"/>
    <w:rsid w:val="00B47D33"/>
    <w:rsid w:val="00B52BE0"/>
    <w:rsid w:val="00B54133"/>
    <w:rsid w:val="00B643B3"/>
    <w:rsid w:val="00B6774E"/>
    <w:rsid w:val="00B701ED"/>
    <w:rsid w:val="00B737E8"/>
    <w:rsid w:val="00B7551E"/>
    <w:rsid w:val="00B8086C"/>
    <w:rsid w:val="00B861B4"/>
    <w:rsid w:val="00B86DFE"/>
    <w:rsid w:val="00B90990"/>
    <w:rsid w:val="00B922FF"/>
    <w:rsid w:val="00B9281E"/>
    <w:rsid w:val="00B92E1D"/>
    <w:rsid w:val="00B93925"/>
    <w:rsid w:val="00B95187"/>
    <w:rsid w:val="00B9594B"/>
    <w:rsid w:val="00B9776F"/>
    <w:rsid w:val="00BA2D55"/>
    <w:rsid w:val="00BA4786"/>
    <w:rsid w:val="00BA48FC"/>
    <w:rsid w:val="00BA71B1"/>
    <w:rsid w:val="00BB0637"/>
    <w:rsid w:val="00BB2800"/>
    <w:rsid w:val="00BB345F"/>
    <w:rsid w:val="00BB68EA"/>
    <w:rsid w:val="00BC1C27"/>
    <w:rsid w:val="00BC4A8F"/>
    <w:rsid w:val="00BC6BBF"/>
    <w:rsid w:val="00BD1572"/>
    <w:rsid w:val="00BE14E3"/>
    <w:rsid w:val="00BE3774"/>
    <w:rsid w:val="00BE41E5"/>
    <w:rsid w:val="00BF4109"/>
    <w:rsid w:val="00BF4CC3"/>
    <w:rsid w:val="00BF580C"/>
    <w:rsid w:val="00BF7F07"/>
    <w:rsid w:val="00C054C7"/>
    <w:rsid w:val="00C057B5"/>
    <w:rsid w:val="00C06E15"/>
    <w:rsid w:val="00C1262B"/>
    <w:rsid w:val="00C22687"/>
    <w:rsid w:val="00C25489"/>
    <w:rsid w:val="00C2548D"/>
    <w:rsid w:val="00C26C8D"/>
    <w:rsid w:val="00C30E5C"/>
    <w:rsid w:val="00C32E4D"/>
    <w:rsid w:val="00C333A0"/>
    <w:rsid w:val="00C36408"/>
    <w:rsid w:val="00C36919"/>
    <w:rsid w:val="00C36A81"/>
    <w:rsid w:val="00C41974"/>
    <w:rsid w:val="00C45146"/>
    <w:rsid w:val="00C47B6F"/>
    <w:rsid w:val="00C50A8C"/>
    <w:rsid w:val="00C538C3"/>
    <w:rsid w:val="00C53F4A"/>
    <w:rsid w:val="00C54125"/>
    <w:rsid w:val="00C55B54"/>
    <w:rsid w:val="00C6098E"/>
    <w:rsid w:val="00C611D8"/>
    <w:rsid w:val="00C6152C"/>
    <w:rsid w:val="00C63990"/>
    <w:rsid w:val="00C64EF6"/>
    <w:rsid w:val="00C66079"/>
    <w:rsid w:val="00C7161E"/>
    <w:rsid w:val="00C744C1"/>
    <w:rsid w:val="00C74810"/>
    <w:rsid w:val="00C75F3A"/>
    <w:rsid w:val="00C90D68"/>
    <w:rsid w:val="00C939FE"/>
    <w:rsid w:val="00C94B36"/>
    <w:rsid w:val="00C97ED8"/>
    <w:rsid w:val="00CA4BDA"/>
    <w:rsid w:val="00CB1F66"/>
    <w:rsid w:val="00CB2951"/>
    <w:rsid w:val="00CB341B"/>
    <w:rsid w:val="00CC7130"/>
    <w:rsid w:val="00CC71E6"/>
    <w:rsid w:val="00CD282B"/>
    <w:rsid w:val="00CD4C35"/>
    <w:rsid w:val="00CD5A55"/>
    <w:rsid w:val="00CD7369"/>
    <w:rsid w:val="00CE0B0E"/>
    <w:rsid w:val="00CE3831"/>
    <w:rsid w:val="00D00ABB"/>
    <w:rsid w:val="00D02EEC"/>
    <w:rsid w:val="00D03551"/>
    <w:rsid w:val="00D06A63"/>
    <w:rsid w:val="00D07E0E"/>
    <w:rsid w:val="00D11478"/>
    <w:rsid w:val="00D15ED0"/>
    <w:rsid w:val="00D17DFA"/>
    <w:rsid w:val="00D2163F"/>
    <w:rsid w:val="00D21B3E"/>
    <w:rsid w:val="00D21FED"/>
    <w:rsid w:val="00D24251"/>
    <w:rsid w:val="00D250D7"/>
    <w:rsid w:val="00D343E2"/>
    <w:rsid w:val="00D34519"/>
    <w:rsid w:val="00D361A2"/>
    <w:rsid w:val="00D37C1F"/>
    <w:rsid w:val="00D42AFF"/>
    <w:rsid w:val="00D44C2E"/>
    <w:rsid w:val="00D45414"/>
    <w:rsid w:val="00D50FEF"/>
    <w:rsid w:val="00D566BD"/>
    <w:rsid w:val="00D576CF"/>
    <w:rsid w:val="00D57A4D"/>
    <w:rsid w:val="00D60AA7"/>
    <w:rsid w:val="00D6435F"/>
    <w:rsid w:val="00D67316"/>
    <w:rsid w:val="00D67D7C"/>
    <w:rsid w:val="00D73835"/>
    <w:rsid w:val="00D75E28"/>
    <w:rsid w:val="00D772C2"/>
    <w:rsid w:val="00D8008E"/>
    <w:rsid w:val="00D819F6"/>
    <w:rsid w:val="00D82C45"/>
    <w:rsid w:val="00D908A8"/>
    <w:rsid w:val="00D927A0"/>
    <w:rsid w:val="00D97288"/>
    <w:rsid w:val="00D977B6"/>
    <w:rsid w:val="00DA0CDA"/>
    <w:rsid w:val="00DA4A31"/>
    <w:rsid w:val="00DA6DEF"/>
    <w:rsid w:val="00DA7B04"/>
    <w:rsid w:val="00DB36C2"/>
    <w:rsid w:val="00DB4124"/>
    <w:rsid w:val="00DB7C35"/>
    <w:rsid w:val="00DC169B"/>
    <w:rsid w:val="00DC2AB9"/>
    <w:rsid w:val="00DC5650"/>
    <w:rsid w:val="00DC63F0"/>
    <w:rsid w:val="00DD1423"/>
    <w:rsid w:val="00DD4449"/>
    <w:rsid w:val="00DD4AAB"/>
    <w:rsid w:val="00DD5146"/>
    <w:rsid w:val="00DD6EE5"/>
    <w:rsid w:val="00DE386C"/>
    <w:rsid w:val="00DE4D35"/>
    <w:rsid w:val="00DF098B"/>
    <w:rsid w:val="00DF11C4"/>
    <w:rsid w:val="00DF210C"/>
    <w:rsid w:val="00DF2FEA"/>
    <w:rsid w:val="00DF4B6A"/>
    <w:rsid w:val="00E01E65"/>
    <w:rsid w:val="00E028BE"/>
    <w:rsid w:val="00E02C09"/>
    <w:rsid w:val="00E04D59"/>
    <w:rsid w:val="00E064EE"/>
    <w:rsid w:val="00E07DA1"/>
    <w:rsid w:val="00E10DF2"/>
    <w:rsid w:val="00E123CB"/>
    <w:rsid w:val="00E1474B"/>
    <w:rsid w:val="00E17583"/>
    <w:rsid w:val="00E20E13"/>
    <w:rsid w:val="00E21DBC"/>
    <w:rsid w:val="00E22702"/>
    <w:rsid w:val="00E275D7"/>
    <w:rsid w:val="00E27DBE"/>
    <w:rsid w:val="00E32A30"/>
    <w:rsid w:val="00E32AB1"/>
    <w:rsid w:val="00E359BB"/>
    <w:rsid w:val="00E36C71"/>
    <w:rsid w:val="00E40404"/>
    <w:rsid w:val="00E40595"/>
    <w:rsid w:val="00E4529A"/>
    <w:rsid w:val="00E459C6"/>
    <w:rsid w:val="00E47589"/>
    <w:rsid w:val="00E5292C"/>
    <w:rsid w:val="00E54694"/>
    <w:rsid w:val="00E64915"/>
    <w:rsid w:val="00E64D4B"/>
    <w:rsid w:val="00E661D4"/>
    <w:rsid w:val="00E70091"/>
    <w:rsid w:val="00E720F5"/>
    <w:rsid w:val="00E7583F"/>
    <w:rsid w:val="00E76D47"/>
    <w:rsid w:val="00E77CB3"/>
    <w:rsid w:val="00E849F7"/>
    <w:rsid w:val="00E86B7B"/>
    <w:rsid w:val="00E90302"/>
    <w:rsid w:val="00E954C6"/>
    <w:rsid w:val="00E97396"/>
    <w:rsid w:val="00EA02C7"/>
    <w:rsid w:val="00EA185E"/>
    <w:rsid w:val="00EA592A"/>
    <w:rsid w:val="00EA7CA1"/>
    <w:rsid w:val="00EB0A3F"/>
    <w:rsid w:val="00EB14E4"/>
    <w:rsid w:val="00EB2DF0"/>
    <w:rsid w:val="00EB32A5"/>
    <w:rsid w:val="00EB34ED"/>
    <w:rsid w:val="00EB7A87"/>
    <w:rsid w:val="00EB7BE0"/>
    <w:rsid w:val="00EB7E63"/>
    <w:rsid w:val="00EC315E"/>
    <w:rsid w:val="00EC3FB8"/>
    <w:rsid w:val="00EC75BB"/>
    <w:rsid w:val="00ED077C"/>
    <w:rsid w:val="00ED0C57"/>
    <w:rsid w:val="00ED1190"/>
    <w:rsid w:val="00ED404D"/>
    <w:rsid w:val="00ED6544"/>
    <w:rsid w:val="00EE0277"/>
    <w:rsid w:val="00EE069C"/>
    <w:rsid w:val="00EE3D77"/>
    <w:rsid w:val="00EE3E00"/>
    <w:rsid w:val="00EE431A"/>
    <w:rsid w:val="00EE5DD2"/>
    <w:rsid w:val="00EE7AA0"/>
    <w:rsid w:val="00EF5337"/>
    <w:rsid w:val="00EF63C2"/>
    <w:rsid w:val="00F00A79"/>
    <w:rsid w:val="00F00E86"/>
    <w:rsid w:val="00F07C1E"/>
    <w:rsid w:val="00F105DB"/>
    <w:rsid w:val="00F11B0F"/>
    <w:rsid w:val="00F132BC"/>
    <w:rsid w:val="00F13D80"/>
    <w:rsid w:val="00F13E52"/>
    <w:rsid w:val="00F16AAA"/>
    <w:rsid w:val="00F21161"/>
    <w:rsid w:val="00F213A7"/>
    <w:rsid w:val="00F218EF"/>
    <w:rsid w:val="00F21BC7"/>
    <w:rsid w:val="00F266A2"/>
    <w:rsid w:val="00F31542"/>
    <w:rsid w:val="00F31C13"/>
    <w:rsid w:val="00F32269"/>
    <w:rsid w:val="00F34780"/>
    <w:rsid w:val="00F43CDD"/>
    <w:rsid w:val="00F4431C"/>
    <w:rsid w:val="00F56135"/>
    <w:rsid w:val="00F56A6F"/>
    <w:rsid w:val="00F5709C"/>
    <w:rsid w:val="00F64EF1"/>
    <w:rsid w:val="00F66901"/>
    <w:rsid w:val="00F81856"/>
    <w:rsid w:val="00F848B4"/>
    <w:rsid w:val="00F8765F"/>
    <w:rsid w:val="00F90560"/>
    <w:rsid w:val="00F90767"/>
    <w:rsid w:val="00F93C8B"/>
    <w:rsid w:val="00FA128C"/>
    <w:rsid w:val="00FA2D8B"/>
    <w:rsid w:val="00FA685B"/>
    <w:rsid w:val="00FB0C01"/>
    <w:rsid w:val="00FB1530"/>
    <w:rsid w:val="00FC0BCD"/>
    <w:rsid w:val="00FC18F2"/>
    <w:rsid w:val="00FC1911"/>
    <w:rsid w:val="00FC39E5"/>
    <w:rsid w:val="00FC3A78"/>
    <w:rsid w:val="00FD1005"/>
    <w:rsid w:val="00FD38E6"/>
    <w:rsid w:val="00FD6C75"/>
    <w:rsid w:val="00FD7FA3"/>
    <w:rsid w:val="00FE71B3"/>
    <w:rsid w:val="00FF42C5"/>
    <w:rsid w:val="00FF5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D7E"/>
    <w:pPr>
      <w:jc w:val="both"/>
    </w:pPr>
    <w:rPr>
      <w:rFonts w:eastAsiaTheme="minorEastAsia"/>
      <w:sz w:val="24"/>
    </w:rPr>
  </w:style>
  <w:style w:type="paragraph" w:styleId="Heading1">
    <w:name w:val="heading 1"/>
    <w:basedOn w:val="Normal"/>
    <w:next w:val="Normal"/>
    <w:link w:val="Heading1Char"/>
    <w:uiPriority w:val="99"/>
    <w:semiHidden/>
    <w:rsid w:val="000E6D7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E6D7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E6D7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E6D7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E6D7E"/>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0E6D7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E6D7E"/>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0E6D7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E6D7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6D7E"/>
    <w:rPr>
      <w:rFonts w:ascii="Tahoma" w:hAnsi="Tahoma" w:cs="Tahoma"/>
      <w:sz w:val="16"/>
      <w:szCs w:val="16"/>
    </w:rPr>
  </w:style>
  <w:style w:type="character" w:customStyle="1" w:styleId="BalloonTextChar">
    <w:name w:val="Balloon Text Char"/>
    <w:basedOn w:val="DefaultParagraphFont"/>
    <w:link w:val="BalloonText"/>
    <w:uiPriority w:val="99"/>
    <w:semiHidden/>
    <w:rsid w:val="000E6D7E"/>
    <w:rPr>
      <w:rFonts w:ascii="Tahoma" w:eastAsiaTheme="minorEastAsia" w:hAnsi="Tahoma" w:cs="Tahoma"/>
      <w:sz w:val="16"/>
      <w:szCs w:val="16"/>
    </w:rPr>
  </w:style>
  <w:style w:type="character" w:styleId="BookTitle">
    <w:name w:val="Book Title"/>
    <w:uiPriority w:val="99"/>
    <w:semiHidden/>
    <w:qFormat/>
    <w:rsid w:val="000E6D7E"/>
    <w:rPr>
      <w:i/>
      <w:iCs/>
      <w:smallCaps/>
      <w:spacing w:val="5"/>
    </w:rPr>
  </w:style>
  <w:style w:type="paragraph" w:customStyle="1" w:styleId="ECHRHeader">
    <w:name w:val="ECHR_Header"/>
    <w:aliases w:val="Ju_Header"/>
    <w:basedOn w:val="Header"/>
    <w:uiPriority w:val="4"/>
    <w:qFormat/>
    <w:rsid w:val="000E6D7E"/>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E6D7E"/>
    <w:pPr>
      <w:jc w:val="left"/>
    </w:pPr>
    <w:rPr>
      <w:sz w:val="8"/>
    </w:rPr>
  </w:style>
  <w:style w:type="character" w:styleId="Strong">
    <w:name w:val="Strong"/>
    <w:uiPriority w:val="99"/>
    <w:semiHidden/>
    <w:qFormat/>
    <w:rsid w:val="000E6D7E"/>
    <w:rPr>
      <w:b/>
      <w:bCs/>
    </w:rPr>
  </w:style>
  <w:style w:type="paragraph" w:styleId="NoSpacing">
    <w:name w:val="No Spacing"/>
    <w:basedOn w:val="Normal"/>
    <w:link w:val="NoSpacingChar"/>
    <w:semiHidden/>
    <w:qFormat/>
    <w:rsid w:val="000E6D7E"/>
  </w:style>
  <w:style w:type="character" w:customStyle="1" w:styleId="NoSpacingChar">
    <w:name w:val="No Spacing Char"/>
    <w:basedOn w:val="DefaultParagraphFont"/>
    <w:link w:val="NoSpacing"/>
    <w:semiHidden/>
    <w:rsid w:val="000E6D7E"/>
    <w:rPr>
      <w:rFonts w:eastAsiaTheme="minorEastAsia"/>
      <w:sz w:val="24"/>
    </w:rPr>
  </w:style>
  <w:style w:type="paragraph" w:customStyle="1" w:styleId="ECHRFooterLine">
    <w:name w:val="ECHR_Footer_Line"/>
    <w:aliases w:val="Footer_Line"/>
    <w:basedOn w:val="Normal"/>
    <w:next w:val="ECHRFooter"/>
    <w:uiPriority w:val="57"/>
    <w:semiHidden/>
    <w:rsid w:val="000E6D7E"/>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0E6D7E"/>
    <w:pPr>
      <w:numPr>
        <w:numId w:val="16"/>
      </w:numPr>
      <w:jc w:val="left"/>
    </w:pPr>
    <w:rPr>
      <w:b/>
    </w:rPr>
  </w:style>
  <w:style w:type="paragraph" w:customStyle="1" w:styleId="OpiPara">
    <w:name w:val="Opi_Para"/>
    <w:basedOn w:val="ECHRPara"/>
    <w:uiPriority w:val="46"/>
    <w:semiHidden/>
    <w:qFormat/>
    <w:rsid w:val="000E6D7E"/>
  </w:style>
  <w:style w:type="paragraph" w:customStyle="1" w:styleId="JuParaSub">
    <w:name w:val="Ju_Para_Sub"/>
    <w:basedOn w:val="ECHRPara"/>
    <w:uiPriority w:val="13"/>
    <w:qFormat/>
    <w:rsid w:val="000E6D7E"/>
    <w:pPr>
      <w:ind w:left="284"/>
    </w:pPr>
  </w:style>
  <w:style w:type="paragraph" w:customStyle="1" w:styleId="ECHRTitleCentre3">
    <w:name w:val="ECHR_Title_Centre_3"/>
    <w:aliases w:val="Ju_H_Article"/>
    <w:basedOn w:val="Normal"/>
    <w:next w:val="ECHRParaQuote"/>
    <w:uiPriority w:val="27"/>
    <w:qFormat/>
    <w:rsid w:val="000E6D7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0E6D7E"/>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E6D7E"/>
    <w:pPr>
      <w:ind w:left="567"/>
    </w:pPr>
  </w:style>
  <w:style w:type="paragraph" w:customStyle="1" w:styleId="OpiParaSub">
    <w:name w:val="Opi_Para_Sub"/>
    <w:basedOn w:val="JuParaSub"/>
    <w:uiPriority w:val="47"/>
    <w:semiHidden/>
    <w:qFormat/>
    <w:rsid w:val="000E6D7E"/>
  </w:style>
  <w:style w:type="paragraph" w:customStyle="1" w:styleId="OpiQuot">
    <w:name w:val="Opi_Quot"/>
    <w:basedOn w:val="ECHRParaQuote"/>
    <w:uiPriority w:val="48"/>
    <w:semiHidden/>
    <w:qFormat/>
    <w:rsid w:val="000E6D7E"/>
  </w:style>
  <w:style w:type="paragraph" w:customStyle="1" w:styleId="OpiQuotSub">
    <w:name w:val="Opi_Quot_Sub"/>
    <w:basedOn w:val="JuQuotSub"/>
    <w:uiPriority w:val="49"/>
    <w:semiHidden/>
    <w:qFormat/>
    <w:rsid w:val="000E6D7E"/>
  </w:style>
  <w:style w:type="paragraph" w:customStyle="1" w:styleId="ECHRTitleCentre2">
    <w:name w:val="ECHR_Title_Centre_2"/>
    <w:aliases w:val="Dec_H_Case"/>
    <w:basedOn w:val="Normal"/>
    <w:next w:val="ECHRPara"/>
    <w:uiPriority w:val="8"/>
    <w:qFormat/>
    <w:rsid w:val="000E6D7E"/>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0E6D7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E6D7E"/>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0E6D7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0E6D7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0E6D7E"/>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0E6D7E"/>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0E6D7E"/>
    <w:pPr>
      <w:keepNext/>
      <w:keepLines/>
      <w:spacing w:before="240" w:after="120"/>
      <w:ind w:left="1236"/>
    </w:pPr>
    <w:rPr>
      <w:sz w:val="20"/>
    </w:rPr>
  </w:style>
  <w:style w:type="paragraph" w:customStyle="1" w:styleId="JuTitle">
    <w:name w:val="Ju_Title"/>
    <w:basedOn w:val="Normal"/>
    <w:next w:val="ECHRPara"/>
    <w:uiPriority w:val="3"/>
    <w:qFormat/>
    <w:rsid w:val="000E6D7E"/>
    <w:pPr>
      <w:spacing w:before="720" w:after="240"/>
      <w:jc w:val="center"/>
      <w:outlineLvl w:val="0"/>
    </w:pPr>
    <w:rPr>
      <w:rFonts w:asciiTheme="majorHAnsi" w:hAnsiTheme="majorHAnsi"/>
      <w:b/>
      <w:caps/>
    </w:rPr>
  </w:style>
  <w:style w:type="paragraph" w:customStyle="1" w:styleId="JuInitialled">
    <w:name w:val="Ju_Initialled"/>
    <w:basedOn w:val="Normal"/>
    <w:uiPriority w:val="31"/>
    <w:qFormat/>
    <w:rsid w:val="000E6D7E"/>
    <w:pPr>
      <w:tabs>
        <w:tab w:val="center" w:pos="6407"/>
      </w:tabs>
      <w:spacing w:before="720"/>
      <w:jc w:val="right"/>
    </w:pPr>
  </w:style>
  <w:style w:type="paragraph" w:customStyle="1" w:styleId="OpiHA">
    <w:name w:val="Opi_H_A"/>
    <w:basedOn w:val="ECHRHeading1"/>
    <w:next w:val="OpiPara"/>
    <w:uiPriority w:val="41"/>
    <w:semiHidden/>
    <w:qFormat/>
    <w:rsid w:val="000E6D7E"/>
    <w:pPr>
      <w:tabs>
        <w:tab w:val="clear" w:pos="357"/>
      </w:tabs>
      <w:outlineLvl w:val="1"/>
    </w:pPr>
    <w:rPr>
      <w:b/>
    </w:rPr>
  </w:style>
  <w:style w:type="paragraph" w:styleId="Header">
    <w:name w:val="header"/>
    <w:basedOn w:val="Normal"/>
    <w:link w:val="HeaderChar"/>
    <w:uiPriority w:val="57"/>
    <w:semiHidden/>
    <w:rsid w:val="000E6D7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E6D7E"/>
    <w:rPr>
      <w:sz w:val="24"/>
    </w:rPr>
  </w:style>
  <w:style w:type="character" w:customStyle="1" w:styleId="Heading1Char">
    <w:name w:val="Heading 1 Char"/>
    <w:basedOn w:val="DefaultParagraphFont"/>
    <w:link w:val="Heading1"/>
    <w:uiPriority w:val="99"/>
    <w:semiHidden/>
    <w:rsid w:val="000E6D7E"/>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0E6D7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0E6D7E"/>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E6D7E"/>
    <w:rPr>
      <w:rFonts w:asciiTheme="majorHAnsi" w:eastAsiaTheme="majorEastAsia" w:hAnsiTheme="majorHAnsi" w:cstheme="majorBidi"/>
      <w:b/>
      <w:bCs/>
      <w:color w:val="4D4D4D"/>
      <w:sz w:val="26"/>
      <w:szCs w:val="26"/>
    </w:rPr>
  </w:style>
  <w:style w:type="character" w:customStyle="1" w:styleId="JUNAMES">
    <w:name w:val="JU_NAMES"/>
    <w:uiPriority w:val="17"/>
    <w:qFormat/>
    <w:rsid w:val="000E6D7E"/>
    <w:rPr>
      <w:caps w:val="0"/>
      <w:smallCaps/>
    </w:rPr>
  </w:style>
  <w:style w:type="paragraph" w:customStyle="1" w:styleId="ECHRDecisionBody">
    <w:name w:val="ECHR_Decision_Body"/>
    <w:aliases w:val="Ju_Judges"/>
    <w:basedOn w:val="Normal"/>
    <w:uiPriority w:val="11"/>
    <w:qFormat/>
    <w:rsid w:val="000E6D7E"/>
    <w:pPr>
      <w:tabs>
        <w:tab w:val="left" w:pos="567"/>
        <w:tab w:val="left" w:pos="1134"/>
      </w:tabs>
      <w:jc w:val="left"/>
    </w:pPr>
  </w:style>
  <w:style w:type="character" w:customStyle="1" w:styleId="Heading3Char">
    <w:name w:val="Heading 3 Char"/>
    <w:basedOn w:val="DefaultParagraphFont"/>
    <w:link w:val="Heading3"/>
    <w:uiPriority w:val="99"/>
    <w:semiHidden/>
    <w:rsid w:val="000E6D7E"/>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0E6D7E"/>
    <w:pPr>
      <w:ind w:firstLine="284"/>
    </w:pPr>
  </w:style>
  <w:style w:type="character" w:customStyle="1" w:styleId="Heading4Char">
    <w:name w:val="Heading 4 Char"/>
    <w:basedOn w:val="DefaultParagraphFont"/>
    <w:link w:val="Heading4"/>
    <w:uiPriority w:val="99"/>
    <w:semiHidden/>
    <w:rsid w:val="000E6D7E"/>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0E6D7E"/>
    <w:rPr>
      <w:rFonts w:asciiTheme="majorHAnsi" w:eastAsiaTheme="majorEastAsia" w:hAnsiTheme="majorHAnsi" w:cstheme="majorBidi"/>
      <w:b/>
      <w:bCs/>
      <w:color w:val="808080"/>
      <w:sz w:val="24"/>
    </w:rPr>
  </w:style>
  <w:style w:type="character" w:styleId="SubtleEmphasis">
    <w:name w:val="Subtle Emphasis"/>
    <w:uiPriority w:val="99"/>
    <w:semiHidden/>
    <w:qFormat/>
    <w:rsid w:val="000E6D7E"/>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0E6D7E"/>
    <w:pPr>
      <w:keepNext/>
      <w:keepLines/>
      <w:spacing w:before="720" w:after="240"/>
      <w:outlineLvl w:val="0"/>
    </w:pPr>
    <w:rPr>
      <w:rFonts w:asciiTheme="majorHAnsi" w:hAnsiTheme="majorHAnsi"/>
      <w:sz w:val="28"/>
    </w:rPr>
  </w:style>
  <w:style w:type="character" w:styleId="Emphasis">
    <w:name w:val="Emphasis"/>
    <w:uiPriority w:val="99"/>
    <w:semiHidden/>
    <w:qFormat/>
    <w:rsid w:val="000E6D7E"/>
    <w:rPr>
      <w:b/>
      <w:bCs/>
      <w:i/>
      <w:iCs/>
      <w:spacing w:val="10"/>
      <w:bdr w:val="none" w:sz="0" w:space="0" w:color="auto"/>
      <w:shd w:val="clear" w:color="auto" w:fill="auto"/>
    </w:rPr>
  </w:style>
  <w:style w:type="paragraph" w:styleId="Footer">
    <w:name w:val="footer"/>
    <w:basedOn w:val="Normal"/>
    <w:link w:val="FooterChar"/>
    <w:uiPriority w:val="57"/>
    <w:semiHidden/>
    <w:rsid w:val="000E6D7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E6D7E"/>
    <w:rPr>
      <w:sz w:val="24"/>
    </w:rPr>
  </w:style>
  <w:style w:type="character" w:styleId="FootnoteReference">
    <w:name w:val="footnote reference"/>
    <w:basedOn w:val="DefaultParagraphFont"/>
    <w:uiPriority w:val="99"/>
    <w:semiHidden/>
    <w:rsid w:val="000E6D7E"/>
    <w:rPr>
      <w:vertAlign w:val="superscript"/>
    </w:rPr>
  </w:style>
  <w:style w:type="paragraph" w:styleId="FootnoteText">
    <w:name w:val="footnote text"/>
    <w:basedOn w:val="Normal"/>
    <w:link w:val="FootnoteTextChar"/>
    <w:uiPriority w:val="99"/>
    <w:semiHidden/>
    <w:rsid w:val="000E6D7E"/>
    <w:rPr>
      <w:sz w:val="20"/>
      <w:szCs w:val="20"/>
    </w:rPr>
  </w:style>
  <w:style w:type="character" w:customStyle="1" w:styleId="FootnoteTextChar">
    <w:name w:val="Footnote Text Char"/>
    <w:basedOn w:val="DefaultParagraphFont"/>
    <w:link w:val="FootnoteText"/>
    <w:uiPriority w:val="99"/>
    <w:semiHidden/>
    <w:rsid w:val="000E6D7E"/>
    <w:rPr>
      <w:rFonts w:eastAsiaTheme="minorEastAsia"/>
      <w:sz w:val="20"/>
      <w:szCs w:val="20"/>
    </w:rPr>
  </w:style>
  <w:style w:type="character" w:customStyle="1" w:styleId="Heading6Char">
    <w:name w:val="Heading 6 Char"/>
    <w:basedOn w:val="DefaultParagraphFont"/>
    <w:link w:val="Heading6"/>
    <w:uiPriority w:val="99"/>
    <w:semiHidden/>
    <w:rsid w:val="000E6D7E"/>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0E6D7E"/>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0E6D7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E6D7E"/>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E6D7E"/>
    <w:rPr>
      <w:color w:val="0072BC" w:themeColor="hyperlink"/>
      <w:u w:val="single"/>
    </w:rPr>
  </w:style>
  <w:style w:type="character" w:styleId="IntenseEmphasis">
    <w:name w:val="Intense Emphasis"/>
    <w:uiPriority w:val="99"/>
    <w:semiHidden/>
    <w:qFormat/>
    <w:rsid w:val="000E6D7E"/>
    <w:rPr>
      <w:b/>
      <w:bCs/>
    </w:rPr>
  </w:style>
  <w:style w:type="paragraph" w:styleId="IntenseQuote">
    <w:name w:val="Intense Quote"/>
    <w:basedOn w:val="Normal"/>
    <w:next w:val="Normal"/>
    <w:link w:val="IntenseQuoteChar"/>
    <w:uiPriority w:val="99"/>
    <w:semiHidden/>
    <w:qFormat/>
    <w:rsid w:val="000E6D7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0E6D7E"/>
    <w:rPr>
      <w:rFonts w:eastAsiaTheme="minorEastAsia"/>
      <w:b/>
      <w:bCs/>
      <w:i/>
      <w:iCs/>
      <w:sz w:val="24"/>
      <w:lang w:bidi="en-US"/>
    </w:rPr>
  </w:style>
  <w:style w:type="character" w:styleId="IntenseReference">
    <w:name w:val="Intense Reference"/>
    <w:uiPriority w:val="99"/>
    <w:semiHidden/>
    <w:qFormat/>
    <w:rsid w:val="000E6D7E"/>
    <w:rPr>
      <w:smallCaps/>
      <w:spacing w:val="5"/>
      <w:u w:val="single"/>
    </w:rPr>
  </w:style>
  <w:style w:type="paragraph" w:styleId="ListParagraph">
    <w:name w:val="List Paragraph"/>
    <w:basedOn w:val="Normal"/>
    <w:uiPriority w:val="99"/>
    <w:semiHidden/>
    <w:qFormat/>
    <w:rsid w:val="000E6D7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E6D7E"/>
    <w:pPr>
      <w:spacing w:before="200"/>
      <w:ind w:left="360" w:right="360"/>
    </w:pPr>
    <w:rPr>
      <w:i/>
      <w:iCs/>
      <w:lang w:bidi="en-US"/>
    </w:rPr>
  </w:style>
  <w:style w:type="character" w:customStyle="1" w:styleId="QuoteChar">
    <w:name w:val="Quote Char"/>
    <w:basedOn w:val="DefaultParagraphFont"/>
    <w:link w:val="Quote"/>
    <w:uiPriority w:val="99"/>
    <w:semiHidden/>
    <w:rsid w:val="000E6D7E"/>
    <w:rPr>
      <w:rFonts w:eastAsiaTheme="minorEastAsia"/>
      <w:i/>
      <w:iCs/>
      <w:sz w:val="24"/>
      <w:lang w:bidi="en-US"/>
    </w:rPr>
  </w:style>
  <w:style w:type="character" w:styleId="SubtleReference">
    <w:name w:val="Subtle Reference"/>
    <w:uiPriority w:val="99"/>
    <w:semiHidden/>
    <w:qFormat/>
    <w:rsid w:val="000E6D7E"/>
    <w:rPr>
      <w:smallCaps/>
    </w:rPr>
  </w:style>
  <w:style w:type="table" w:styleId="TableGrid">
    <w:name w:val="Table Grid"/>
    <w:basedOn w:val="TableNormal"/>
    <w:uiPriority w:val="59"/>
    <w:rsid w:val="000E6D7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E6D7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0E6D7E"/>
    <w:pPr>
      <w:spacing w:after="60"/>
      <w:ind w:left="680" w:right="340" w:hanging="340"/>
    </w:pPr>
  </w:style>
  <w:style w:type="paragraph" w:styleId="TOC3">
    <w:name w:val="toc 3"/>
    <w:basedOn w:val="Normal"/>
    <w:next w:val="Normal"/>
    <w:autoRedefine/>
    <w:uiPriority w:val="99"/>
    <w:semiHidden/>
    <w:rsid w:val="000E6D7E"/>
    <w:pPr>
      <w:spacing w:after="60"/>
      <w:ind w:left="1020" w:right="340" w:hanging="340"/>
    </w:pPr>
  </w:style>
  <w:style w:type="paragraph" w:styleId="TOC4">
    <w:name w:val="toc 4"/>
    <w:basedOn w:val="Normal"/>
    <w:next w:val="Normal"/>
    <w:autoRedefine/>
    <w:uiPriority w:val="99"/>
    <w:semiHidden/>
    <w:rsid w:val="000E6D7E"/>
    <w:pPr>
      <w:tabs>
        <w:tab w:val="right" w:leader="dot" w:pos="9017"/>
      </w:tabs>
      <w:spacing w:after="60"/>
      <w:ind w:left="1361" w:right="340" w:hanging="340"/>
    </w:pPr>
  </w:style>
  <w:style w:type="paragraph" w:styleId="TOC5">
    <w:name w:val="toc 5"/>
    <w:basedOn w:val="Normal"/>
    <w:next w:val="Normal"/>
    <w:autoRedefine/>
    <w:uiPriority w:val="99"/>
    <w:semiHidden/>
    <w:rsid w:val="000E6D7E"/>
    <w:pPr>
      <w:spacing w:after="60"/>
      <w:ind w:left="1701" w:right="340" w:hanging="340"/>
    </w:pPr>
  </w:style>
  <w:style w:type="paragraph" w:styleId="TOCHeading">
    <w:name w:val="TOC Heading"/>
    <w:basedOn w:val="Heading1"/>
    <w:next w:val="Normal"/>
    <w:uiPriority w:val="99"/>
    <w:semiHidden/>
    <w:qFormat/>
    <w:rsid w:val="000E6D7E"/>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E6D7E"/>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0E6D7E"/>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E6D7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0E6D7E"/>
    <w:pPr>
      <w:tabs>
        <w:tab w:val="center" w:pos="851"/>
        <w:tab w:val="center" w:pos="6407"/>
      </w:tabs>
      <w:spacing w:before="720"/>
      <w:jc w:val="left"/>
    </w:pPr>
  </w:style>
  <w:style w:type="paragraph" w:customStyle="1" w:styleId="JuParaLast">
    <w:name w:val="Ju_Para_Last"/>
    <w:basedOn w:val="Normal"/>
    <w:next w:val="ECHRPara"/>
    <w:uiPriority w:val="30"/>
    <w:qFormat/>
    <w:rsid w:val="000E6D7E"/>
    <w:pPr>
      <w:keepNext/>
      <w:keepLines/>
      <w:spacing w:before="240"/>
      <w:ind w:firstLine="284"/>
    </w:pPr>
  </w:style>
  <w:style w:type="paragraph" w:customStyle="1" w:styleId="JuCase">
    <w:name w:val="Ju_Case"/>
    <w:basedOn w:val="Normal"/>
    <w:next w:val="ECHRPara"/>
    <w:uiPriority w:val="10"/>
    <w:rsid w:val="000E6D7E"/>
    <w:pPr>
      <w:ind w:firstLine="284"/>
    </w:pPr>
    <w:rPr>
      <w:b/>
    </w:rPr>
  </w:style>
  <w:style w:type="paragraph" w:customStyle="1" w:styleId="JuList">
    <w:name w:val="Ju_List"/>
    <w:basedOn w:val="Normal"/>
    <w:uiPriority w:val="28"/>
    <w:qFormat/>
    <w:rsid w:val="000E6D7E"/>
    <w:pPr>
      <w:ind w:left="340" w:hanging="340"/>
    </w:pPr>
  </w:style>
  <w:style w:type="character" w:customStyle="1" w:styleId="JuITMark">
    <w:name w:val="Ju_ITMark"/>
    <w:basedOn w:val="DefaultParagraphFont"/>
    <w:uiPriority w:val="38"/>
    <w:qFormat/>
    <w:rsid w:val="000E6D7E"/>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0E6D7E"/>
    <w:pPr>
      <w:ind w:left="346" w:firstLine="0"/>
    </w:pPr>
  </w:style>
  <w:style w:type="paragraph" w:customStyle="1" w:styleId="JuListi">
    <w:name w:val="Ju_List_i"/>
    <w:basedOn w:val="Normal"/>
    <w:next w:val="JuLista"/>
    <w:uiPriority w:val="28"/>
    <w:qFormat/>
    <w:rsid w:val="000E6D7E"/>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semiHidden/>
    <w:qFormat/>
    <w:rsid w:val="000E6D7E"/>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0E6D7E"/>
  </w:style>
  <w:style w:type="paragraph" w:styleId="Subtitle">
    <w:name w:val="Subtitle"/>
    <w:basedOn w:val="Normal"/>
    <w:next w:val="Normal"/>
    <w:link w:val="SubtitleChar"/>
    <w:uiPriority w:val="99"/>
    <w:semiHidden/>
    <w:qFormat/>
    <w:rsid w:val="000E6D7E"/>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E6D7E"/>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link w:val="ECHRPara"/>
    <w:uiPriority w:val="12"/>
    <w:rsid w:val="00C94B36"/>
    <w:rPr>
      <w:rFonts w:eastAsiaTheme="minorEastAsia"/>
      <w:sz w:val="24"/>
    </w:rPr>
  </w:style>
  <w:style w:type="paragraph" w:styleId="Revision">
    <w:name w:val="Revision"/>
    <w:hidden/>
    <w:uiPriority w:val="99"/>
    <w:semiHidden/>
    <w:rsid w:val="006767B6"/>
    <w:rPr>
      <w:rFonts w:eastAsiaTheme="minorEastAsia"/>
      <w:sz w:val="24"/>
    </w:rPr>
  </w:style>
  <w:style w:type="paragraph" w:customStyle="1" w:styleId="JuCourt">
    <w:name w:val="Ju_Court"/>
    <w:basedOn w:val="Normal"/>
    <w:next w:val="Normal"/>
    <w:uiPriority w:val="16"/>
    <w:qFormat/>
    <w:rsid w:val="000E6D7E"/>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0E6D7E"/>
    <w:pPr>
      <w:spacing w:before="240"/>
      <w:ind w:left="284"/>
    </w:pPr>
  </w:style>
  <w:style w:type="paragraph" w:customStyle="1" w:styleId="OpiH1">
    <w:name w:val="Opi_H_1"/>
    <w:basedOn w:val="ECHRHeading2"/>
    <w:uiPriority w:val="42"/>
    <w:semiHidden/>
    <w:qFormat/>
    <w:rsid w:val="000E6D7E"/>
    <w:pPr>
      <w:ind w:left="635" w:hanging="357"/>
      <w:outlineLvl w:val="2"/>
    </w:pPr>
  </w:style>
  <w:style w:type="paragraph" w:customStyle="1" w:styleId="OpiHa0">
    <w:name w:val="Opi_H_a"/>
    <w:basedOn w:val="ECHRHeading3"/>
    <w:uiPriority w:val="43"/>
    <w:semiHidden/>
    <w:qFormat/>
    <w:rsid w:val="000E6D7E"/>
    <w:pPr>
      <w:ind w:left="833" w:hanging="357"/>
      <w:outlineLvl w:val="3"/>
    </w:pPr>
    <w:rPr>
      <w:b/>
      <w:i w:val="0"/>
      <w:sz w:val="20"/>
    </w:rPr>
  </w:style>
  <w:style w:type="paragraph" w:customStyle="1" w:styleId="OpiHi">
    <w:name w:val="Opi_H_i"/>
    <w:basedOn w:val="ECHRHeading4"/>
    <w:uiPriority w:val="44"/>
    <w:semiHidden/>
    <w:qFormat/>
    <w:rsid w:val="000E6D7E"/>
    <w:pPr>
      <w:ind w:left="1037" w:hanging="357"/>
      <w:outlineLvl w:val="4"/>
    </w:pPr>
    <w:rPr>
      <w:b w:val="0"/>
      <w:i/>
    </w:rPr>
  </w:style>
  <w:style w:type="paragraph" w:customStyle="1" w:styleId="DummyStyle">
    <w:name w:val="Dummy_Style"/>
    <w:basedOn w:val="Normal"/>
    <w:semiHidden/>
    <w:qFormat/>
    <w:rsid w:val="000E6D7E"/>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485">
      <w:bodyDiv w:val="1"/>
      <w:marLeft w:val="0"/>
      <w:marRight w:val="0"/>
      <w:marTop w:val="0"/>
      <w:marBottom w:val="0"/>
      <w:divBdr>
        <w:top w:val="none" w:sz="0" w:space="0" w:color="auto"/>
        <w:left w:val="none" w:sz="0" w:space="0" w:color="auto"/>
        <w:bottom w:val="none" w:sz="0" w:space="0" w:color="auto"/>
        <w:right w:val="none" w:sz="0" w:space="0" w:color="auto"/>
      </w:divBdr>
      <w:divsChild>
        <w:div w:id="673651761">
          <w:marLeft w:val="0"/>
          <w:marRight w:val="0"/>
          <w:marTop w:val="0"/>
          <w:marBottom w:val="0"/>
          <w:divBdr>
            <w:top w:val="none" w:sz="0" w:space="0" w:color="auto"/>
            <w:left w:val="none" w:sz="0" w:space="0" w:color="auto"/>
            <w:bottom w:val="none" w:sz="0" w:space="0" w:color="auto"/>
            <w:right w:val="none" w:sz="0" w:space="0" w:color="auto"/>
          </w:divBdr>
          <w:divsChild>
            <w:div w:id="1902908775">
              <w:marLeft w:val="0"/>
              <w:marRight w:val="0"/>
              <w:marTop w:val="0"/>
              <w:marBottom w:val="0"/>
              <w:divBdr>
                <w:top w:val="none" w:sz="0" w:space="0" w:color="auto"/>
                <w:left w:val="none" w:sz="0" w:space="0" w:color="auto"/>
                <w:bottom w:val="none" w:sz="0" w:space="0" w:color="auto"/>
                <w:right w:val="none" w:sz="0" w:space="0" w:color="auto"/>
              </w:divBdr>
              <w:divsChild>
                <w:div w:id="794907119">
                  <w:marLeft w:val="0"/>
                  <w:marRight w:val="0"/>
                  <w:marTop w:val="0"/>
                  <w:marBottom w:val="0"/>
                  <w:divBdr>
                    <w:top w:val="none" w:sz="0" w:space="0" w:color="auto"/>
                    <w:left w:val="none" w:sz="0" w:space="0" w:color="auto"/>
                    <w:bottom w:val="none" w:sz="0" w:space="0" w:color="auto"/>
                    <w:right w:val="none" w:sz="0" w:space="0" w:color="auto"/>
                  </w:divBdr>
                  <w:divsChild>
                    <w:div w:id="1911883888">
                      <w:marLeft w:val="0"/>
                      <w:marRight w:val="0"/>
                      <w:marTop w:val="0"/>
                      <w:marBottom w:val="0"/>
                      <w:divBdr>
                        <w:top w:val="none" w:sz="0" w:space="0" w:color="auto"/>
                        <w:left w:val="none" w:sz="0" w:space="0" w:color="auto"/>
                        <w:bottom w:val="none" w:sz="0" w:space="0" w:color="auto"/>
                        <w:right w:val="none" w:sz="0" w:space="0" w:color="auto"/>
                      </w:divBdr>
                      <w:divsChild>
                        <w:div w:id="1524660906">
                          <w:marLeft w:val="0"/>
                          <w:marRight w:val="0"/>
                          <w:marTop w:val="0"/>
                          <w:marBottom w:val="0"/>
                          <w:divBdr>
                            <w:top w:val="none" w:sz="0" w:space="0" w:color="auto"/>
                            <w:left w:val="none" w:sz="0" w:space="0" w:color="auto"/>
                            <w:bottom w:val="none" w:sz="0" w:space="0" w:color="auto"/>
                            <w:right w:val="none" w:sz="0" w:space="0" w:color="auto"/>
                          </w:divBdr>
                          <w:divsChild>
                            <w:div w:id="718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5817">
      <w:bodyDiv w:val="1"/>
      <w:marLeft w:val="0"/>
      <w:marRight w:val="0"/>
      <w:marTop w:val="0"/>
      <w:marBottom w:val="0"/>
      <w:divBdr>
        <w:top w:val="none" w:sz="0" w:space="0" w:color="auto"/>
        <w:left w:val="none" w:sz="0" w:space="0" w:color="auto"/>
        <w:bottom w:val="none" w:sz="0" w:space="0" w:color="auto"/>
        <w:right w:val="none" w:sz="0" w:space="0" w:color="auto"/>
      </w:divBdr>
    </w:div>
    <w:div w:id="258762318">
      <w:bodyDiv w:val="1"/>
      <w:marLeft w:val="0"/>
      <w:marRight w:val="0"/>
      <w:marTop w:val="0"/>
      <w:marBottom w:val="0"/>
      <w:divBdr>
        <w:top w:val="none" w:sz="0" w:space="0" w:color="auto"/>
        <w:left w:val="none" w:sz="0" w:space="0" w:color="auto"/>
        <w:bottom w:val="none" w:sz="0" w:space="0" w:color="auto"/>
        <w:right w:val="none" w:sz="0" w:space="0" w:color="auto"/>
      </w:divBdr>
    </w:div>
    <w:div w:id="331877183">
      <w:bodyDiv w:val="1"/>
      <w:marLeft w:val="0"/>
      <w:marRight w:val="0"/>
      <w:marTop w:val="0"/>
      <w:marBottom w:val="0"/>
      <w:divBdr>
        <w:top w:val="none" w:sz="0" w:space="0" w:color="auto"/>
        <w:left w:val="none" w:sz="0" w:space="0" w:color="auto"/>
        <w:bottom w:val="none" w:sz="0" w:space="0" w:color="auto"/>
        <w:right w:val="none" w:sz="0" w:space="0" w:color="auto"/>
      </w:divBdr>
      <w:divsChild>
        <w:div w:id="1379696226">
          <w:marLeft w:val="0"/>
          <w:marRight w:val="0"/>
          <w:marTop w:val="0"/>
          <w:marBottom w:val="0"/>
          <w:divBdr>
            <w:top w:val="none" w:sz="0" w:space="0" w:color="auto"/>
            <w:left w:val="none" w:sz="0" w:space="0" w:color="auto"/>
            <w:bottom w:val="none" w:sz="0" w:space="0" w:color="auto"/>
            <w:right w:val="none" w:sz="0" w:space="0" w:color="auto"/>
          </w:divBdr>
          <w:divsChild>
            <w:div w:id="1446658195">
              <w:marLeft w:val="0"/>
              <w:marRight w:val="0"/>
              <w:marTop w:val="0"/>
              <w:marBottom w:val="0"/>
              <w:divBdr>
                <w:top w:val="none" w:sz="0" w:space="0" w:color="auto"/>
                <w:left w:val="none" w:sz="0" w:space="0" w:color="auto"/>
                <w:bottom w:val="none" w:sz="0" w:space="0" w:color="auto"/>
                <w:right w:val="none" w:sz="0" w:space="0" w:color="auto"/>
              </w:divBdr>
              <w:divsChild>
                <w:div w:id="295139655">
                  <w:marLeft w:val="0"/>
                  <w:marRight w:val="0"/>
                  <w:marTop w:val="0"/>
                  <w:marBottom w:val="0"/>
                  <w:divBdr>
                    <w:top w:val="none" w:sz="0" w:space="0" w:color="auto"/>
                    <w:left w:val="none" w:sz="0" w:space="0" w:color="auto"/>
                    <w:bottom w:val="none" w:sz="0" w:space="0" w:color="auto"/>
                    <w:right w:val="none" w:sz="0" w:space="0" w:color="auto"/>
                  </w:divBdr>
                  <w:divsChild>
                    <w:div w:id="110974649">
                      <w:marLeft w:val="0"/>
                      <w:marRight w:val="0"/>
                      <w:marTop w:val="0"/>
                      <w:marBottom w:val="0"/>
                      <w:divBdr>
                        <w:top w:val="none" w:sz="0" w:space="0" w:color="auto"/>
                        <w:left w:val="none" w:sz="0" w:space="0" w:color="auto"/>
                        <w:bottom w:val="none" w:sz="0" w:space="0" w:color="auto"/>
                        <w:right w:val="none" w:sz="0" w:space="0" w:color="auto"/>
                      </w:divBdr>
                      <w:divsChild>
                        <w:div w:id="970093483">
                          <w:marLeft w:val="0"/>
                          <w:marRight w:val="0"/>
                          <w:marTop w:val="0"/>
                          <w:marBottom w:val="0"/>
                          <w:divBdr>
                            <w:top w:val="none" w:sz="0" w:space="0" w:color="auto"/>
                            <w:left w:val="none" w:sz="0" w:space="0" w:color="auto"/>
                            <w:bottom w:val="none" w:sz="0" w:space="0" w:color="auto"/>
                            <w:right w:val="none" w:sz="0" w:space="0" w:color="auto"/>
                          </w:divBdr>
                          <w:divsChild>
                            <w:div w:id="6389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04743">
      <w:bodyDiv w:val="1"/>
      <w:marLeft w:val="0"/>
      <w:marRight w:val="0"/>
      <w:marTop w:val="0"/>
      <w:marBottom w:val="0"/>
      <w:divBdr>
        <w:top w:val="none" w:sz="0" w:space="0" w:color="auto"/>
        <w:left w:val="none" w:sz="0" w:space="0" w:color="auto"/>
        <w:bottom w:val="none" w:sz="0" w:space="0" w:color="auto"/>
        <w:right w:val="none" w:sz="0" w:space="0" w:color="auto"/>
      </w:divBdr>
    </w:div>
    <w:div w:id="7185513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041">
          <w:marLeft w:val="0"/>
          <w:marRight w:val="0"/>
          <w:marTop w:val="0"/>
          <w:marBottom w:val="0"/>
          <w:divBdr>
            <w:top w:val="none" w:sz="0" w:space="0" w:color="auto"/>
            <w:left w:val="none" w:sz="0" w:space="0" w:color="auto"/>
            <w:bottom w:val="none" w:sz="0" w:space="0" w:color="auto"/>
            <w:right w:val="none" w:sz="0" w:space="0" w:color="auto"/>
          </w:divBdr>
          <w:divsChild>
            <w:div w:id="21562967">
              <w:marLeft w:val="0"/>
              <w:marRight w:val="0"/>
              <w:marTop w:val="0"/>
              <w:marBottom w:val="0"/>
              <w:divBdr>
                <w:top w:val="none" w:sz="0" w:space="0" w:color="auto"/>
                <w:left w:val="none" w:sz="0" w:space="0" w:color="auto"/>
                <w:bottom w:val="none" w:sz="0" w:space="0" w:color="auto"/>
                <w:right w:val="none" w:sz="0" w:space="0" w:color="auto"/>
              </w:divBdr>
              <w:divsChild>
                <w:div w:id="1103454008">
                  <w:marLeft w:val="0"/>
                  <w:marRight w:val="0"/>
                  <w:marTop w:val="0"/>
                  <w:marBottom w:val="0"/>
                  <w:divBdr>
                    <w:top w:val="none" w:sz="0" w:space="0" w:color="auto"/>
                    <w:left w:val="none" w:sz="0" w:space="0" w:color="auto"/>
                    <w:bottom w:val="none" w:sz="0" w:space="0" w:color="auto"/>
                    <w:right w:val="none" w:sz="0" w:space="0" w:color="auto"/>
                  </w:divBdr>
                  <w:divsChild>
                    <w:div w:id="2068913009">
                      <w:marLeft w:val="0"/>
                      <w:marRight w:val="0"/>
                      <w:marTop w:val="0"/>
                      <w:marBottom w:val="0"/>
                      <w:divBdr>
                        <w:top w:val="none" w:sz="0" w:space="0" w:color="auto"/>
                        <w:left w:val="none" w:sz="0" w:space="0" w:color="auto"/>
                        <w:bottom w:val="none" w:sz="0" w:space="0" w:color="auto"/>
                        <w:right w:val="none" w:sz="0" w:space="0" w:color="auto"/>
                      </w:divBdr>
                      <w:divsChild>
                        <w:div w:id="204028828">
                          <w:marLeft w:val="0"/>
                          <w:marRight w:val="0"/>
                          <w:marTop w:val="0"/>
                          <w:marBottom w:val="0"/>
                          <w:divBdr>
                            <w:top w:val="none" w:sz="0" w:space="0" w:color="auto"/>
                            <w:left w:val="none" w:sz="0" w:space="0" w:color="auto"/>
                            <w:bottom w:val="none" w:sz="0" w:space="0" w:color="auto"/>
                            <w:right w:val="none" w:sz="0" w:space="0" w:color="auto"/>
                          </w:divBdr>
                          <w:divsChild>
                            <w:div w:id="1398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85647">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3">
          <w:marLeft w:val="0"/>
          <w:marRight w:val="0"/>
          <w:marTop w:val="0"/>
          <w:marBottom w:val="0"/>
          <w:divBdr>
            <w:top w:val="none" w:sz="0" w:space="0" w:color="auto"/>
            <w:left w:val="none" w:sz="0" w:space="0" w:color="auto"/>
            <w:bottom w:val="none" w:sz="0" w:space="0" w:color="auto"/>
            <w:right w:val="none" w:sz="0" w:space="0" w:color="auto"/>
          </w:divBdr>
          <w:divsChild>
            <w:div w:id="167335814">
              <w:marLeft w:val="0"/>
              <w:marRight w:val="0"/>
              <w:marTop w:val="0"/>
              <w:marBottom w:val="0"/>
              <w:divBdr>
                <w:top w:val="none" w:sz="0" w:space="0" w:color="auto"/>
                <w:left w:val="none" w:sz="0" w:space="0" w:color="auto"/>
                <w:bottom w:val="none" w:sz="0" w:space="0" w:color="auto"/>
                <w:right w:val="none" w:sz="0" w:space="0" w:color="auto"/>
              </w:divBdr>
              <w:divsChild>
                <w:div w:id="2011057514">
                  <w:marLeft w:val="0"/>
                  <w:marRight w:val="0"/>
                  <w:marTop w:val="0"/>
                  <w:marBottom w:val="0"/>
                  <w:divBdr>
                    <w:top w:val="none" w:sz="0" w:space="0" w:color="auto"/>
                    <w:left w:val="none" w:sz="0" w:space="0" w:color="auto"/>
                    <w:bottom w:val="none" w:sz="0" w:space="0" w:color="auto"/>
                    <w:right w:val="none" w:sz="0" w:space="0" w:color="auto"/>
                  </w:divBdr>
                  <w:divsChild>
                    <w:div w:id="1815753448">
                      <w:marLeft w:val="0"/>
                      <w:marRight w:val="0"/>
                      <w:marTop w:val="0"/>
                      <w:marBottom w:val="0"/>
                      <w:divBdr>
                        <w:top w:val="none" w:sz="0" w:space="0" w:color="auto"/>
                        <w:left w:val="none" w:sz="0" w:space="0" w:color="auto"/>
                        <w:bottom w:val="none" w:sz="0" w:space="0" w:color="auto"/>
                        <w:right w:val="none" w:sz="0" w:space="0" w:color="auto"/>
                      </w:divBdr>
                      <w:divsChild>
                        <w:div w:id="167716429">
                          <w:marLeft w:val="0"/>
                          <w:marRight w:val="0"/>
                          <w:marTop w:val="0"/>
                          <w:marBottom w:val="0"/>
                          <w:divBdr>
                            <w:top w:val="none" w:sz="0" w:space="0" w:color="auto"/>
                            <w:left w:val="none" w:sz="0" w:space="0" w:color="auto"/>
                            <w:bottom w:val="none" w:sz="0" w:space="0" w:color="auto"/>
                            <w:right w:val="none" w:sz="0" w:space="0" w:color="auto"/>
                          </w:divBdr>
                          <w:divsChild>
                            <w:div w:id="5657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44541">
      <w:bodyDiv w:val="1"/>
      <w:marLeft w:val="0"/>
      <w:marRight w:val="0"/>
      <w:marTop w:val="0"/>
      <w:marBottom w:val="0"/>
      <w:divBdr>
        <w:top w:val="none" w:sz="0" w:space="0" w:color="auto"/>
        <w:left w:val="none" w:sz="0" w:space="0" w:color="auto"/>
        <w:bottom w:val="none" w:sz="0" w:space="0" w:color="auto"/>
        <w:right w:val="none" w:sz="0" w:space="0" w:color="auto"/>
      </w:divBdr>
    </w:div>
    <w:div w:id="144553571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doc.echr.coe.int/sites/fra/Pages/search.aspx" TargetMode="External"/><Relationship Id="rId18" Type="http://schemas.openxmlformats.org/officeDocument/2006/relationships/hyperlink" Target="http://hudoc.echr.coe.int/sites/eng/Pages/search.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hudoc.echr.coe.int/sites/eng/Pages/search.aspx" TargetMode="External"/><Relationship Id="rId7" Type="http://schemas.openxmlformats.org/officeDocument/2006/relationships/endnotes" Target="endnotes.xml"/><Relationship Id="rId12" Type="http://schemas.openxmlformats.org/officeDocument/2006/relationships/hyperlink" Target="http://hudoc.echr.coe.int/sites/fra/Pages/search.aspx" TargetMode="External"/><Relationship Id="rId17" Type="http://schemas.openxmlformats.org/officeDocument/2006/relationships/hyperlink" Target="http://hudoc.echr.coe.int/sites/eng/Pages/search.aspx" TargetMode="External"/><Relationship Id="rId25" Type="http://schemas.openxmlformats.org/officeDocument/2006/relationships/hyperlink" Target="http://hudoc.echr.coe.int/sites/eng/Pages/search.aspx" TargetMode="Externa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sites/fra/Pages/search.aspx" TargetMode="External"/><Relationship Id="rId24" Type="http://schemas.openxmlformats.org/officeDocument/2006/relationships/hyperlink" Target="http://hudoc.echr.coe.int/sites/eng/Pages/search.aspx"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sites/eng/Pages/search.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hudoc.echr.coe.int/sites/eng/Pages/search.aspx"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sites/eng/Pages/search.aspx" TargetMode="External"/><Relationship Id="rId22" Type="http://schemas.openxmlformats.org/officeDocument/2006/relationships/hyperlink" Target="http://hudoc.echr.coe.int/sites/eng/Pages/search.aspx" TargetMode="External"/><Relationship Id="rId27" Type="http://schemas.openxmlformats.org/officeDocument/2006/relationships/header" Target="header4.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8D034-6016-4C8A-B66F-956210D47D1E}"/>
</file>

<file path=customXml/itemProps2.xml><?xml version="1.0" encoding="utf-8"?>
<ds:datastoreItem xmlns:ds="http://schemas.openxmlformats.org/officeDocument/2006/customXml" ds:itemID="{73F471E5-E08E-4AC4-8843-7046C5400310}"/>
</file>

<file path=customXml/itemProps3.xml><?xml version="1.0" encoding="utf-8"?>
<ds:datastoreItem xmlns:ds="http://schemas.openxmlformats.org/officeDocument/2006/customXml" ds:itemID="{04AFC9D4-5E2B-4410-99A5-E4533B74EEB6}"/>
</file>

<file path=customXml/itemProps4.xml><?xml version="1.0" encoding="utf-8"?>
<ds:datastoreItem xmlns:ds="http://schemas.openxmlformats.org/officeDocument/2006/customXml" ds:itemID="{B6733743-45F0-42C6-B2BA-B26A8143B847}"/>
</file>

<file path=docProps/app.xml><?xml version="1.0" encoding="utf-8"?>
<Properties xmlns="http://schemas.openxmlformats.org/officeDocument/2006/extended-properties" xmlns:vt="http://schemas.openxmlformats.org/officeDocument/2006/docPropsVTypes">
  <Template>Normal.dotm</Template>
  <TotalTime>0</TotalTime>
  <Pages>1</Pages>
  <Words>8352</Words>
  <Characters>47613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2015-06-29T07:26:00Z</cp:lastPrinted>
  <dcterms:created xsi:type="dcterms:W3CDTF">2015-07-21T17:28:00Z</dcterms:created>
  <dcterms:modified xsi:type="dcterms:W3CDTF">2015-07-21T17:28:00Z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